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8534A" w14:textId="77777777" w:rsidR="00B50F32" w:rsidRPr="00A119AD" w:rsidRDefault="00B50F32" w:rsidP="00B50F32">
      <w:pPr>
        <w:pStyle w:val="Standard"/>
        <w:spacing w:after="0"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tbl>
      <w:tblPr>
        <w:tblW w:w="9001" w:type="dxa"/>
        <w:tblInd w:w="-13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656"/>
        <w:gridCol w:w="6105"/>
        <w:gridCol w:w="240"/>
      </w:tblGrid>
      <w:tr w:rsidR="00EC281C" w14:paraId="312E7FF9" w14:textId="77777777" w:rsidTr="00A67DEF">
        <w:trPr>
          <w:trHeight w:val="1411"/>
        </w:trPr>
        <w:tc>
          <w:tcPr>
            <w:tcW w:w="8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C0148" w14:textId="77777777" w:rsidR="00EC281C" w:rsidRDefault="00EC281C" w:rsidP="00A67DEF">
            <w:pPr>
              <w:ind w:left="15" w:firstLine="15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PROJEKT ARCHITEKTONICZNO - BUDOWLANY</w:t>
            </w:r>
          </w:p>
          <w:p w14:paraId="0AEA214B" w14:textId="77777777" w:rsidR="00EC281C" w:rsidRDefault="00EC281C" w:rsidP="00A67DEF">
            <w:pPr>
              <w:ind w:left="15" w:firstLine="15"/>
              <w:jc w:val="center"/>
              <w:rPr>
                <w:b/>
                <w:color w:val="000000"/>
              </w:rPr>
            </w:pPr>
          </w:p>
          <w:p w14:paraId="530BF091" w14:textId="77777777" w:rsidR="00EC281C" w:rsidRDefault="00EC281C" w:rsidP="00A67DEF">
            <w:pPr>
              <w:ind w:left="15" w:firstLine="15"/>
              <w:jc w:val="center"/>
            </w:pPr>
            <w:r>
              <w:rPr>
                <w:b/>
                <w:sz w:val="22"/>
                <w:szCs w:val="22"/>
              </w:rPr>
              <w:t xml:space="preserve">„Opracowanie dokumentacji projektowej termomodernizacji budynku Wspólnoty Mieszkaniowej „Jaćwing” </w:t>
            </w:r>
            <w:r>
              <w:rPr>
                <w:b/>
                <w:bCs/>
                <w:sz w:val="22"/>
                <w:szCs w:val="22"/>
              </w:rPr>
              <w:t>przy ul. Ludwika Waryńskiego 25 w Suwałkach</w:t>
            </w:r>
            <w:r>
              <w:rPr>
                <w:b/>
                <w:bCs/>
                <w:sz w:val="22"/>
                <w:szCs w:val="22"/>
                <w:lang w:val="en-US"/>
              </w:rPr>
              <w:t>”</w:t>
            </w:r>
          </w:p>
        </w:tc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</w:tcPr>
          <w:p w14:paraId="0C18DEF8" w14:textId="77777777" w:rsidR="00EC281C" w:rsidRDefault="00EC281C" w:rsidP="00A67DEF">
            <w:pPr>
              <w:snapToGrid w:val="0"/>
              <w:jc w:val="center"/>
              <w:rPr>
                <w:color w:val="000000"/>
                <w:lang w:val="en-US"/>
              </w:rPr>
            </w:pPr>
          </w:p>
        </w:tc>
      </w:tr>
      <w:tr w:rsidR="00EC281C" w14:paraId="2B55152F" w14:textId="77777777" w:rsidTr="00A67DEF">
        <w:trPr>
          <w:trHeight w:val="573"/>
        </w:trPr>
        <w:tc>
          <w:tcPr>
            <w:tcW w:w="8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04FEB" w14:textId="53E7A545" w:rsidR="00EC281C" w:rsidRDefault="00EC281C" w:rsidP="00A67DEF">
            <w:pPr>
              <w:jc w:val="center"/>
              <w:rPr>
                <w:b/>
                <w:color w:val="000000"/>
              </w:rPr>
            </w:pPr>
            <w:r>
              <w:rPr>
                <w:rFonts w:eastAsia="@Arial Unicode MS"/>
                <w:b/>
                <w:color w:val="000000"/>
              </w:rPr>
              <w:t xml:space="preserve">BRANŻA: </w:t>
            </w:r>
            <w:r w:rsidR="009C35FD">
              <w:rPr>
                <w:rFonts w:eastAsia="@Arial Unicode MS"/>
                <w:b/>
                <w:color w:val="000000"/>
              </w:rPr>
              <w:t>Konstrukcja Lukarn</w:t>
            </w:r>
          </w:p>
          <w:p w14:paraId="2136C9C2" w14:textId="77777777" w:rsidR="00EC281C" w:rsidRDefault="00EC281C" w:rsidP="00A67DEF">
            <w:pPr>
              <w:pBdr>
                <w:top w:val="single" w:sz="4" w:space="1" w:color="000000"/>
              </w:pBdr>
              <w:jc w:val="center"/>
            </w:pPr>
            <w:r>
              <w:rPr>
                <w:b/>
                <w:color w:val="000000"/>
              </w:rPr>
              <w:t>OBIEKT:</w:t>
            </w:r>
          </w:p>
        </w:tc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</w:tcPr>
          <w:p w14:paraId="4DE6D3B8" w14:textId="77777777" w:rsidR="00EC281C" w:rsidRDefault="00EC281C" w:rsidP="00A67DEF">
            <w:pPr>
              <w:snapToGrid w:val="0"/>
              <w:jc w:val="center"/>
              <w:rPr>
                <w:color w:val="000000"/>
              </w:rPr>
            </w:pPr>
          </w:p>
        </w:tc>
      </w:tr>
      <w:tr w:rsidR="00EC281C" w14:paraId="6B5B0576" w14:textId="77777777" w:rsidTr="00A67DEF">
        <w:trPr>
          <w:trHeight w:val="1108"/>
        </w:trPr>
        <w:tc>
          <w:tcPr>
            <w:tcW w:w="8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A6FA8" w14:textId="77777777" w:rsidR="00EC281C" w:rsidRDefault="00EC281C" w:rsidP="00A67DEF">
            <w:pPr>
              <w:jc w:val="center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 xml:space="preserve">budynek Wspólnoty Mieszkaniowej „Jaćwing” </w:t>
            </w:r>
            <w:r>
              <w:rPr>
                <w:b/>
                <w:bCs/>
                <w:color w:val="000000"/>
              </w:rPr>
              <w:t>w Suwałkach,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 Działka nr: 10555/6</w:t>
            </w:r>
          </w:p>
          <w:p w14:paraId="633A7A16" w14:textId="77777777" w:rsidR="00EC281C" w:rsidRDefault="00EC281C" w:rsidP="00A67DE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LOKALIZACJA:</w:t>
            </w:r>
          </w:p>
          <w:p w14:paraId="556A9A26" w14:textId="77777777" w:rsidR="00EC281C" w:rsidRDefault="00EC281C" w:rsidP="00A67DEF">
            <w:pPr>
              <w:jc w:val="center"/>
              <w:rPr>
                <w:rFonts w:eastAsia="CIDFont+F1"/>
                <w:b/>
                <w:bCs/>
                <w:sz w:val="23"/>
              </w:rPr>
            </w:pPr>
            <w:r>
              <w:rPr>
                <w:b/>
                <w:bCs/>
                <w:color w:val="000000"/>
              </w:rPr>
              <w:t xml:space="preserve">Suwałki 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ul.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Ludwika Waryńskiego 25</w:t>
            </w:r>
            <w:r>
              <w:rPr>
                <w:color w:val="000000"/>
              </w:rPr>
              <w:t>,</w:t>
            </w:r>
          </w:p>
          <w:p w14:paraId="75A87CD1" w14:textId="77777777" w:rsidR="00EC281C" w:rsidRDefault="00EC281C" w:rsidP="00EC281C">
            <w:pPr>
              <w:numPr>
                <w:ilvl w:val="0"/>
                <w:numId w:val="14"/>
              </w:numPr>
              <w:suppressAutoHyphens/>
              <w:ind w:firstLine="15"/>
              <w:jc w:val="center"/>
              <w:rPr>
                <w:b/>
                <w:bCs/>
                <w:color w:val="000000"/>
              </w:rPr>
            </w:pPr>
            <w:r>
              <w:rPr>
                <w:rFonts w:eastAsia="CIDFont+F1"/>
                <w:b/>
                <w:bCs/>
                <w:sz w:val="23"/>
              </w:rPr>
              <w:t>400 Suwałki</w:t>
            </w:r>
          </w:p>
          <w:p w14:paraId="5BC95609" w14:textId="77777777" w:rsidR="00EC281C" w:rsidRDefault="00EC281C" w:rsidP="00A67DE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</w:tcPr>
          <w:p w14:paraId="55F677B4" w14:textId="77777777" w:rsidR="00EC281C" w:rsidRDefault="00EC281C" w:rsidP="00A67DEF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EC281C" w14:paraId="3C08A596" w14:textId="77777777" w:rsidTr="00A67DEF">
        <w:trPr>
          <w:trHeight w:val="1076"/>
        </w:trPr>
        <w:tc>
          <w:tcPr>
            <w:tcW w:w="8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D6E3D" w14:textId="77777777" w:rsidR="00EC281C" w:rsidRDefault="00EC281C" w:rsidP="00A67DE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color w:val="000000"/>
              </w:rPr>
              <w:t>INWESTOR:</w:t>
            </w:r>
          </w:p>
          <w:p w14:paraId="38AAE311" w14:textId="77777777" w:rsidR="00EC281C" w:rsidRDefault="00EC281C" w:rsidP="00A67DEF">
            <w:pPr>
              <w:jc w:val="center"/>
            </w:pPr>
            <w:r>
              <w:rPr>
                <w:b/>
                <w:bCs/>
                <w:sz w:val="20"/>
              </w:rPr>
              <w:t>Wspólnota Mieszkaniowa ”Jaćwing”</w:t>
            </w:r>
            <w:r>
              <w:rPr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przy ul. Ludwika Waryńskiego 25 w Suwałkach</w:t>
            </w:r>
          </w:p>
        </w:tc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</w:tcPr>
          <w:p w14:paraId="0ED5D2E7" w14:textId="77777777" w:rsidR="00EC281C" w:rsidRDefault="00EC281C" w:rsidP="00A67DEF">
            <w:pPr>
              <w:snapToGrid w:val="0"/>
              <w:jc w:val="center"/>
              <w:rPr>
                <w:color w:val="000000"/>
              </w:rPr>
            </w:pPr>
          </w:p>
        </w:tc>
      </w:tr>
      <w:tr w:rsidR="00EC281C" w14:paraId="36733957" w14:textId="77777777" w:rsidTr="00A67DEF">
        <w:trPr>
          <w:trHeight w:val="1151"/>
        </w:trPr>
        <w:tc>
          <w:tcPr>
            <w:tcW w:w="8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531C7" w14:textId="77777777" w:rsidR="00EC281C" w:rsidRDefault="00EC281C" w:rsidP="00A67DEF">
            <w:pPr>
              <w:snapToGrid w:val="0"/>
              <w:jc w:val="center"/>
              <w:rPr>
                <w:rFonts w:eastAsia="NSimSun"/>
                <w:color w:val="000000"/>
              </w:rPr>
            </w:pPr>
          </w:p>
          <w:p w14:paraId="5213614E" w14:textId="77777777" w:rsidR="00EC281C" w:rsidRDefault="00EC281C" w:rsidP="00A67DEF">
            <w:pPr>
              <w:jc w:val="center"/>
            </w:pPr>
            <w:r>
              <w:rPr>
                <w:rFonts w:eastAsia="NSimSun"/>
                <w:b/>
                <w:color w:val="000000"/>
              </w:rPr>
              <w:t>Styczeń 2025</w:t>
            </w:r>
          </w:p>
        </w:tc>
        <w:tc>
          <w:tcPr>
            <w:tcW w:w="240" w:type="dxa"/>
            <w:tcBorders>
              <w:left w:val="single" w:sz="4" w:space="0" w:color="000000"/>
            </w:tcBorders>
            <w:shd w:val="clear" w:color="auto" w:fill="auto"/>
          </w:tcPr>
          <w:p w14:paraId="4C88C826" w14:textId="77777777" w:rsidR="00EC281C" w:rsidRDefault="00EC281C" w:rsidP="00A67DEF">
            <w:pPr>
              <w:snapToGrid w:val="0"/>
              <w:jc w:val="center"/>
              <w:rPr>
                <w:color w:val="000000"/>
              </w:rPr>
            </w:pPr>
          </w:p>
        </w:tc>
      </w:tr>
      <w:tr w:rsidR="00EC281C" w14:paraId="2E6CF54F" w14:textId="77777777" w:rsidTr="00A67DEF">
        <w:trPr>
          <w:trHeight w:val="736"/>
        </w:trPr>
        <w:tc>
          <w:tcPr>
            <w:tcW w:w="876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6B88C8" w14:textId="77777777" w:rsidR="00EC281C" w:rsidRDefault="00EC281C" w:rsidP="00A67DEF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40" w:type="dxa"/>
            <w:shd w:val="clear" w:color="auto" w:fill="auto"/>
          </w:tcPr>
          <w:p w14:paraId="216B5A1E" w14:textId="77777777" w:rsidR="00EC281C" w:rsidRDefault="00EC281C" w:rsidP="00A67DEF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EC281C" w14:paraId="5368F2CF" w14:textId="77777777" w:rsidTr="00A67DEF">
        <w:trPr>
          <w:trHeight w:val="563"/>
        </w:trPr>
        <w:tc>
          <w:tcPr>
            <w:tcW w:w="265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0BAB52" w14:textId="50F43DEF" w:rsidR="00EC281C" w:rsidRDefault="00EC281C" w:rsidP="00A67DEF">
            <w:pPr>
              <w:jc w:val="center"/>
            </w:pPr>
            <w:r>
              <w:rPr>
                <w:b/>
                <w:color w:val="000000"/>
              </w:rPr>
              <w:t>Konstrukcja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6344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448AFB" w14:textId="77777777" w:rsidR="00EC281C" w:rsidRDefault="00EC281C" w:rsidP="00EC281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mgr inż. </w:t>
            </w:r>
            <w:r>
              <w:rPr>
                <w:color w:val="000000"/>
                <w:sz w:val="20"/>
              </w:rPr>
              <w:t>Piotr Dąbrowski</w:t>
            </w:r>
          </w:p>
          <w:p w14:paraId="6D1B8277" w14:textId="3F339806" w:rsidR="00EC281C" w:rsidRDefault="00EC281C" w:rsidP="00EC281C">
            <w:pPr>
              <w:jc w:val="center"/>
            </w:pPr>
            <w:r>
              <w:rPr>
                <w:color w:val="000000"/>
                <w:sz w:val="20"/>
              </w:rPr>
              <w:t>……………………………</w:t>
            </w:r>
          </w:p>
        </w:tc>
      </w:tr>
    </w:tbl>
    <w:p w14:paraId="7223E747" w14:textId="77777777" w:rsidR="00A774FB" w:rsidRDefault="00A774FB" w:rsidP="002D0F46">
      <w:pPr>
        <w:rPr>
          <w:rFonts w:ascii="Arial" w:hAnsi="Arial" w:cs="Arial"/>
        </w:rPr>
      </w:pPr>
    </w:p>
    <w:p w14:paraId="1D248206" w14:textId="77777777" w:rsidR="00ED734C" w:rsidRDefault="00ED734C" w:rsidP="002D0F46">
      <w:pPr>
        <w:rPr>
          <w:rFonts w:ascii="Arial" w:hAnsi="Arial" w:cs="Arial"/>
        </w:rPr>
      </w:pPr>
    </w:p>
    <w:p w14:paraId="47FA9F7F" w14:textId="77777777" w:rsidR="00ED734C" w:rsidRDefault="00ED734C" w:rsidP="002D0F46">
      <w:pPr>
        <w:rPr>
          <w:rFonts w:ascii="Arial" w:hAnsi="Arial" w:cs="Arial"/>
        </w:rPr>
      </w:pPr>
    </w:p>
    <w:p w14:paraId="5C5FA79D" w14:textId="77777777" w:rsidR="00ED734C" w:rsidRDefault="00ED734C" w:rsidP="002D0F46">
      <w:pPr>
        <w:rPr>
          <w:rFonts w:ascii="Arial" w:hAnsi="Arial" w:cs="Arial"/>
        </w:rPr>
      </w:pPr>
    </w:p>
    <w:p w14:paraId="1D57D30C" w14:textId="77777777" w:rsidR="00ED734C" w:rsidRDefault="00ED734C" w:rsidP="002D0F46">
      <w:pPr>
        <w:rPr>
          <w:rFonts w:ascii="Arial" w:hAnsi="Arial" w:cs="Arial"/>
        </w:rPr>
      </w:pPr>
    </w:p>
    <w:p w14:paraId="670ECE7E" w14:textId="77777777" w:rsidR="00ED734C" w:rsidRDefault="00ED734C" w:rsidP="002D0F46">
      <w:pPr>
        <w:rPr>
          <w:rFonts w:ascii="Arial" w:hAnsi="Arial" w:cs="Arial"/>
        </w:rPr>
      </w:pPr>
    </w:p>
    <w:p w14:paraId="3BCBC487" w14:textId="77777777" w:rsidR="00ED734C" w:rsidRDefault="00ED734C" w:rsidP="002D0F46">
      <w:pPr>
        <w:rPr>
          <w:rFonts w:ascii="Arial" w:hAnsi="Arial" w:cs="Arial"/>
        </w:rPr>
      </w:pPr>
    </w:p>
    <w:p w14:paraId="7CFBA1DC" w14:textId="77777777" w:rsidR="00ED734C" w:rsidRDefault="00ED734C" w:rsidP="002D0F46">
      <w:pPr>
        <w:rPr>
          <w:rFonts w:ascii="Arial" w:hAnsi="Arial" w:cs="Arial"/>
        </w:rPr>
      </w:pPr>
    </w:p>
    <w:p w14:paraId="505FC846" w14:textId="77777777" w:rsidR="00ED734C" w:rsidRDefault="00ED734C" w:rsidP="002D0F46">
      <w:pPr>
        <w:rPr>
          <w:rFonts w:ascii="Arial" w:hAnsi="Arial" w:cs="Arial"/>
        </w:rPr>
      </w:pPr>
    </w:p>
    <w:p w14:paraId="73326D6B" w14:textId="77777777" w:rsidR="00ED734C" w:rsidRDefault="00ED734C" w:rsidP="002D0F46">
      <w:pPr>
        <w:rPr>
          <w:rFonts w:ascii="Arial" w:hAnsi="Arial" w:cs="Arial"/>
        </w:rPr>
      </w:pPr>
    </w:p>
    <w:p w14:paraId="40790D50" w14:textId="77777777" w:rsidR="00ED734C" w:rsidRDefault="00ED734C" w:rsidP="002D0F46">
      <w:pPr>
        <w:rPr>
          <w:rFonts w:ascii="Arial" w:hAnsi="Arial" w:cs="Arial"/>
        </w:rPr>
      </w:pPr>
    </w:p>
    <w:p w14:paraId="52A06DF8" w14:textId="77777777" w:rsidR="00ED734C" w:rsidRDefault="00ED734C" w:rsidP="002D0F46">
      <w:pPr>
        <w:rPr>
          <w:rFonts w:ascii="Arial" w:hAnsi="Arial" w:cs="Arial"/>
        </w:rPr>
      </w:pPr>
    </w:p>
    <w:p w14:paraId="0ECBB103" w14:textId="77777777" w:rsidR="00ED734C" w:rsidRDefault="00ED734C" w:rsidP="002D0F46">
      <w:pPr>
        <w:rPr>
          <w:rFonts w:ascii="Arial" w:hAnsi="Arial" w:cs="Arial"/>
        </w:rPr>
      </w:pPr>
    </w:p>
    <w:p w14:paraId="7408323D" w14:textId="77777777" w:rsidR="00ED734C" w:rsidRDefault="00ED734C" w:rsidP="002D0F46">
      <w:pPr>
        <w:rPr>
          <w:rFonts w:ascii="Arial" w:hAnsi="Arial" w:cs="Arial"/>
        </w:rPr>
      </w:pPr>
    </w:p>
    <w:p w14:paraId="2DE5F96B" w14:textId="77777777" w:rsidR="00ED734C" w:rsidRDefault="00ED734C" w:rsidP="002D0F46">
      <w:pPr>
        <w:rPr>
          <w:rFonts w:ascii="Arial" w:hAnsi="Arial" w:cs="Arial"/>
        </w:rPr>
      </w:pPr>
    </w:p>
    <w:p w14:paraId="53A9A00D" w14:textId="77777777" w:rsidR="00ED734C" w:rsidRDefault="00ED734C" w:rsidP="002D0F46">
      <w:pPr>
        <w:rPr>
          <w:rFonts w:ascii="Arial" w:hAnsi="Arial" w:cs="Arial"/>
        </w:rPr>
      </w:pPr>
    </w:p>
    <w:p w14:paraId="70777B2F" w14:textId="77777777" w:rsidR="00ED734C" w:rsidRDefault="00ED734C" w:rsidP="002D0F46">
      <w:pPr>
        <w:rPr>
          <w:rFonts w:ascii="Arial" w:hAnsi="Arial" w:cs="Arial"/>
        </w:rPr>
      </w:pPr>
    </w:p>
    <w:p w14:paraId="32415752" w14:textId="77777777" w:rsidR="00ED734C" w:rsidRDefault="00ED734C" w:rsidP="002D0F46">
      <w:pPr>
        <w:rPr>
          <w:rFonts w:ascii="Arial" w:hAnsi="Arial" w:cs="Arial"/>
        </w:rPr>
      </w:pPr>
    </w:p>
    <w:p w14:paraId="45D68824" w14:textId="77777777" w:rsidR="00ED734C" w:rsidRDefault="00ED734C" w:rsidP="002D0F46">
      <w:pPr>
        <w:rPr>
          <w:rFonts w:ascii="Arial" w:hAnsi="Arial" w:cs="Arial"/>
        </w:rPr>
      </w:pPr>
    </w:p>
    <w:p w14:paraId="54F48184" w14:textId="77777777" w:rsidR="00ED734C" w:rsidRDefault="00ED734C" w:rsidP="002D0F46">
      <w:pPr>
        <w:rPr>
          <w:rFonts w:ascii="Arial" w:hAnsi="Arial" w:cs="Arial"/>
        </w:rPr>
      </w:pPr>
    </w:p>
    <w:p w14:paraId="4818B5C4" w14:textId="77777777" w:rsidR="00ED734C" w:rsidRDefault="00ED734C" w:rsidP="002D0F46">
      <w:pPr>
        <w:rPr>
          <w:rFonts w:ascii="Arial" w:hAnsi="Arial" w:cs="Arial"/>
        </w:rPr>
      </w:pPr>
    </w:p>
    <w:p w14:paraId="6261959C" w14:textId="77777777" w:rsidR="00ED734C" w:rsidRDefault="00ED734C" w:rsidP="002D0F46">
      <w:pPr>
        <w:rPr>
          <w:rFonts w:ascii="Arial" w:hAnsi="Arial" w:cs="Arial"/>
        </w:rPr>
      </w:pPr>
    </w:p>
    <w:p w14:paraId="37113C8A" w14:textId="77777777" w:rsidR="00204889" w:rsidRPr="00A119AD" w:rsidRDefault="00204889" w:rsidP="00A119AD">
      <w:pPr>
        <w:rPr>
          <w:rFonts w:ascii="Arial" w:hAnsi="Arial" w:cs="Arial"/>
          <w:b/>
          <w:bCs/>
        </w:rPr>
      </w:pPr>
    </w:p>
    <w:p w14:paraId="39589C92" w14:textId="77777777" w:rsidR="00A774FB" w:rsidRPr="00A119AD" w:rsidRDefault="00A774FB" w:rsidP="00A774FB">
      <w:pPr>
        <w:jc w:val="center"/>
        <w:rPr>
          <w:rFonts w:ascii="Arial" w:hAnsi="Arial" w:cs="Arial"/>
          <w:b/>
          <w:bCs/>
        </w:rPr>
      </w:pPr>
    </w:p>
    <w:p w14:paraId="38F9E041" w14:textId="5DFD78A5" w:rsidR="00A119AD" w:rsidRPr="00A119AD" w:rsidRDefault="00A119AD" w:rsidP="00A119AD">
      <w:pPr>
        <w:pStyle w:val="Nagwek1"/>
        <w:numPr>
          <w:ilvl w:val="0"/>
          <w:numId w:val="0"/>
        </w:numPr>
        <w:spacing w:before="120" w:after="120" w:line="360" w:lineRule="auto"/>
        <w:rPr>
          <w:rFonts w:ascii="Arial" w:hAnsi="Arial" w:cs="Arial"/>
        </w:rPr>
      </w:pPr>
      <w:bookmarkStart w:id="0" w:name="_Toc157639088"/>
      <w:r w:rsidRPr="00A119AD">
        <w:rPr>
          <w:rFonts w:ascii="Arial" w:hAnsi="Arial" w:cs="Arial"/>
        </w:rPr>
        <w:t>1. OPIS TECHNICZNY</w:t>
      </w:r>
      <w:bookmarkEnd w:id="0"/>
    </w:p>
    <w:p w14:paraId="651CE817" w14:textId="77777777" w:rsidR="00A119AD" w:rsidRDefault="00A119AD" w:rsidP="00A119AD">
      <w:pPr>
        <w:pStyle w:val="Nagwek2"/>
        <w:rPr>
          <w:rFonts w:ascii="Arial" w:hAnsi="Arial" w:cs="Arial"/>
        </w:rPr>
      </w:pPr>
      <w:bookmarkStart w:id="1" w:name="_Toc157639089"/>
      <w:r w:rsidRPr="00A119AD">
        <w:rPr>
          <w:rFonts w:ascii="Arial" w:hAnsi="Arial" w:cs="Arial"/>
        </w:rPr>
        <w:t>1.1 OPIS OGÓLNY</w:t>
      </w:r>
      <w:bookmarkEnd w:id="1"/>
    </w:p>
    <w:p w14:paraId="01F0A150" w14:textId="77777777" w:rsidR="00A119AD" w:rsidRPr="00A119AD" w:rsidRDefault="00A119AD" w:rsidP="00A119AD"/>
    <w:p w14:paraId="2100A954" w14:textId="2BA3A37A" w:rsidR="00A119AD" w:rsidRDefault="00A119AD" w:rsidP="00A119AD">
      <w:pPr>
        <w:ind w:firstLine="708"/>
        <w:rPr>
          <w:rFonts w:ascii="Arial" w:hAnsi="Arial" w:cs="Arial"/>
        </w:rPr>
      </w:pPr>
      <w:r w:rsidRPr="00A119AD">
        <w:rPr>
          <w:rFonts w:ascii="Arial" w:hAnsi="Arial" w:cs="Arial"/>
        </w:rPr>
        <w:t xml:space="preserve">W skład opracowania wchodzi </w:t>
      </w:r>
      <w:r w:rsidR="00EC281C">
        <w:rPr>
          <w:rFonts w:ascii="Arial" w:hAnsi="Arial" w:cs="Arial"/>
        </w:rPr>
        <w:t>przebudowa podwójnych lukarn na pojedyncze.</w:t>
      </w:r>
    </w:p>
    <w:p w14:paraId="409CF578" w14:textId="7C50329A" w:rsidR="00EC281C" w:rsidRPr="00A119AD" w:rsidRDefault="00EC281C" w:rsidP="00EC28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Z względu na brak dokumentacji archiwalnej obiektu, założono, że wszystkie elementy są w dostatecznych stanie technicznym umożliwiającym przeniesienie obciążeń wywołanych zmiana układu w lukarnach i </w:t>
      </w:r>
      <w:proofErr w:type="spellStart"/>
      <w:r>
        <w:rPr>
          <w:rFonts w:ascii="Arial" w:hAnsi="Arial" w:cs="Arial"/>
        </w:rPr>
        <w:t>naprężeń</w:t>
      </w:r>
      <w:proofErr w:type="spellEnd"/>
      <w:r>
        <w:rPr>
          <w:rFonts w:ascii="Arial" w:hAnsi="Arial" w:cs="Arial"/>
        </w:rPr>
        <w:t xml:space="preserve"> tym wywołanych.</w:t>
      </w:r>
    </w:p>
    <w:p w14:paraId="3190774D" w14:textId="2BB22F8A" w:rsidR="00A119AD" w:rsidRPr="00A119AD" w:rsidRDefault="00A119AD" w:rsidP="00A119AD">
      <w:pPr>
        <w:ind w:firstLine="708"/>
        <w:rPr>
          <w:rFonts w:ascii="Arial" w:hAnsi="Arial" w:cs="Arial"/>
        </w:rPr>
      </w:pPr>
      <w:r w:rsidRPr="00A119AD">
        <w:rPr>
          <w:rFonts w:ascii="Arial" w:hAnsi="Arial" w:cs="Arial"/>
        </w:rPr>
        <w:t>.</w:t>
      </w:r>
    </w:p>
    <w:p w14:paraId="29542ECE" w14:textId="77777777" w:rsidR="00A119AD" w:rsidRPr="00A119AD" w:rsidRDefault="00A119AD" w:rsidP="00A119AD">
      <w:pPr>
        <w:rPr>
          <w:rFonts w:ascii="Arial" w:hAnsi="Arial" w:cs="Arial"/>
          <w:b/>
          <w:bCs/>
        </w:rPr>
      </w:pPr>
    </w:p>
    <w:p w14:paraId="1D946683" w14:textId="2371C0C8" w:rsidR="00A119AD" w:rsidRPr="00A119AD" w:rsidRDefault="00A119AD" w:rsidP="00A119A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119AD">
        <w:rPr>
          <w:rFonts w:ascii="Arial" w:hAnsi="Arial" w:cs="Arial"/>
          <w:b/>
          <w:bCs/>
          <w:sz w:val="32"/>
          <w:szCs w:val="32"/>
        </w:rPr>
        <w:t>1.3. OPIS TECHNICZNY KONSTRUKCJI</w:t>
      </w:r>
    </w:p>
    <w:p w14:paraId="5615F556" w14:textId="77777777" w:rsidR="00A119AD" w:rsidRPr="00A119AD" w:rsidRDefault="00A119AD" w:rsidP="00A119AD">
      <w:pPr>
        <w:rPr>
          <w:rFonts w:ascii="Arial" w:hAnsi="Arial" w:cs="Arial"/>
        </w:rPr>
      </w:pPr>
    </w:p>
    <w:p w14:paraId="6FA6D0D8" w14:textId="77777777" w:rsidR="00A119AD" w:rsidRPr="00A119AD" w:rsidRDefault="00A119AD" w:rsidP="00A119AD"/>
    <w:p w14:paraId="29B24897" w14:textId="69E68902" w:rsidR="00A119AD" w:rsidRPr="00A119AD" w:rsidRDefault="00373BAB" w:rsidP="00A119AD">
      <w:pPr>
        <w:contextualSpacing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Konstrukcja drewniana</w:t>
      </w:r>
      <w:r w:rsidR="00A119AD" w:rsidRPr="00A119AD">
        <w:rPr>
          <w:rFonts w:ascii="Arial" w:hAnsi="Arial" w:cs="Arial"/>
          <w:szCs w:val="22"/>
          <w:u w:val="single"/>
        </w:rPr>
        <w:t>:</w:t>
      </w:r>
    </w:p>
    <w:p w14:paraId="3797889F" w14:textId="25B16815" w:rsidR="00A119AD" w:rsidRPr="00A119AD" w:rsidRDefault="00A119AD" w:rsidP="00A119AD">
      <w:pPr>
        <w:ind w:firstLine="708"/>
        <w:contextualSpacing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Zaprojektowano więźbę dachową w schemacie krokwiowym (nieprzesuwne oparcie krokwi na murłacie) z drewna konstrukcyjnego klasy min. C2</w:t>
      </w:r>
      <w:r w:rsidR="00373BAB">
        <w:rPr>
          <w:rFonts w:ascii="Arial" w:hAnsi="Arial" w:cs="Arial"/>
          <w:szCs w:val="22"/>
        </w:rPr>
        <w:t>4</w:t>
      </w:r>
      <w:r w:rsidRPr="00A119AD">
        <w:rPr>
          <w:rFonts w:ascii="Arial" w:hAnsi="Arial" w:cs="Arial"/>
          <w:szCs w:val="22"/>
        </w:rPr>
        <w:t xml:space="preserve"> impregnowanego ciśnieniowo. Krokwie o przekroju prostokątnym o wymiarach </w:t>
      </w:r>
      <w:r>
        <w:rPr>
          <w:rFonts w:ascii="Arial" w:hAnsi="Arial" w:cs="Arial"/>
          <w:szCs w:val="22"/>
        </w:rPr>
        <w:t>10x1</w:t>
      </w:r>
      <w:r w:rsidR="00373BAB">
        <w:rPr>
          <w:rFonts w:ascii="Arial" w:hAnsi="Arial" w:cs="Arial"/>
          <w:szCs w:val="22"/>
        </w:rPr>
        <w:t>4</w:t>
      </w:r>
      <w:r w:rsidRPr="00A119AD">
        <w:rPr>
          <w:rFonts w:ascii="Arial" w:hAnsi="Arial" w:cs="Arial"/>
          <w:szCs w:val="22"/>
        </w:rPr>
        <w:t xml:space="preserve"> cm układa się na murłatach stojących na wieńcach ścian kolankowych. Murłaty </w:t>
      </w:r>
      <w:r w:rsidR="00985E17">
        <w:rPr>
          <w:rFonts w:ascii="Arial" w:hAnsi="Arial" w:cs="Arial"/>
          <w:szCs w:val="22"/>
        </w:rPr>
        <w:t xml:space="preserve">o wymiarach 16x16 cm. </w:t>
      </w:r>
      <w:r w:rsidRPr="00A119AD">
        <w:rPr>
          <w:rFonts w:ascii="Arial" w:hAnsi="Arial" w:cs="Arial"/>
          <w:szCs w:val="22"/>
        </w:rPr>
        <w:t xml:space="preserve">Kąt nachylenia połaci </w:t>
      </w:r>
      <w:r w:rsidR="00985E17">
        <w:rPr>
          <w:rFonts w:ascii="Arial" w:hAnsi="Arial" w:cs="Arial"/>
          <w:szCs w:val="22"/>
        </w:rPr>
        <w:t xml:space="preserve">nowych lukarn </w:t>
      </w:r>
      <w:r w:rsidRPr="00A119AD">
        <w:rPr>
          <w:rFonts w:ascii="Arial" w:hAnsi="Arial" w:cs="Arial"/>
          <w:szCs w:val="22"/>
        </w:rPr>
        <w:t xml:space="preserve">wynosi </w:t>
      </w:r>
      <w:r w:rsidR="00985E17">
        <w:rPr>
          <w:rFonts w:ascii="Arial" w:hAnsi="Arial" w:cs="Arial"/>
          <w:szCs w:val="22"/>
        </w:rPr>
        <w:t>od 2</w:t>
      </w:r>
      <w:r w:rsidRPr="00A119AD">
        <w:rPr>
          <w:rFonts w:ascii="Arial" w:hAnsi="Arial" w:cs="Arial"/>
          <w:szCs w:val="22"/>
        </w:rPr>
        <w:t>0°</w:t>
      </w:r>
      <w:r>
        <w:rPr>
          <w:rFonts w:ascii="Arial" w:hAnsi="Arial" w:cs="Arial"/>
          <w:szCs w:val="22"/>
        </w:rPr>
        <w:t xml:space="preserve"> </w:t>
      </w:r>
      <w:r w:rsidR="00985E17">
        <w:rPr>
          <w:rFonts w:ascii="Arial" w:hAnsi="Arial" w:cs="Arial"/>
          <w:szCs w:val="22"/>
        </w:rPr>
        <w:t>do</w:t>
      </w:r>
      <w:r>
        <w:rPr>
          <w:rFonts w:ascii="Arial" w:hAnsi="Arial" w:cs="Arial"/>
          <w:szCs w:val="22"/>
        </w:rPr>
        <w:t xml:space="preserve"> </w:t>
      </w:r>
      <w:r w:rsidR="00985E17">
        <w:rPr>
          <w:rFonts w:ascii="Arial" w:hAnsi="Arial" w:cs="Arial"/>
          <w:szCs w:val="22"/>
        </w:rPr>
        <w:t>30</w:t>
      </w:r>
      <w:r w:rsidRPr="00A119AD">
        <w:rPr>
          <w:rFonts w:ascii="Arial" w:hAnsi="Arial" w:cs="Arial"/>
          <w:szCs w:val="22"/>
        </w:rPr>
        <w:t>°</w:t>
      </w:r>
    </w:p>
    <w:p w14:paraId="4B610557" w14:textId="77777777" w:rsidR="00A119AD" w:rsidRPr="00A119AD" w:rsidRDefault="00A119AD" w:rsidP="00A119AD">
      <w:pPr>
        <w:ind w:firstLine="708"/>
        <w:contextualSpacing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 xml:space="preserve"> </w:t>
      </w:r>
    </w:p>
    <w:p w14:paraId="6416C2AE" w14:textId="77777777" w:rsidR="00A119AD" w:rsidRPr="00A119AD" w:rsidRDefault="00A119AD" w:rsidP="00A119AD">
      <w:pPr>
        <w:pStyle w:val="Nagwek2"/>
        <w:rPr>
          <w:rFonts w:ascii="Arial" w:hAnsi="Arial" w:cs="Arial"/>
        </w:rPr>
      </w:pPr>
      <w:bookmarkStart w:id="2" w:name="_Toc157639092"/>
      <w:r w:rsidRPr="00A119AD">
        <w:rPr>
          <w:rFonts w:ascii="Arial" w:hAnsi="Arial" w:cs="Arial"/>
        </w:rPr>
        <w:t>1.5. UWAGI</w:t>
      </w:r>
      <w:bookmarkEnd w:id="2"/>
    </w:p>
    <w:p w14:paraId="58377283" w14:textId="77777777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Roboty budowlano montażowe prowadzić z zachowaniem szczególnej ostrożności przestrzegając przepisów bhp, pod ścisłym nadzorem osoby posiadającej uprawnienia budowlane kierownika budowy.</w:t>
      </w:r>
    </w:p>
    <w:p w14:paraId="6230FB9B" w14:textId="3641C302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Prace konstrukcyjne należy prowadzić w oparciu o projekty wykonawcze oraz warsztatowe</w:t>
      </w:r>
      <w:r w:rsidR="00204889">
        <w:rPr>
          <w:rFonts w:ascii="Arial" w:hAnsi="Arial" w:cs="Arial"/>
          <w:sz w:val="22"/>
        </w:rPr>
        <w:t xml:space="preserve"> opracowane przez wybranego dostawcę.</w:t>
      </w:r>
    </w:p>
    <w:p w14:paraId="0C31585B" w14:textId="77777777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Rysunki rozpatrywać z rysunkami pozostałych branż. W przypadku stwierdzenia rozbieżności między poszczególnymi projektami branżowymi należy wstrzymać prace i bezzwłocznie zgłosić to nadzorowi autorskiemu. W razie występowania rozbieżności projekt branży architektonicznej należy traktować jako nadrzędny</w:t>
      </w:r>
    </w:p>
    <w:p w14:paraId="5C1755E0" w14:textId="77777777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Izolacje oraz warstwy wykończeniowe wg projektu architektonicznego</w:t>
      </w:r>
    </w:p>
    <w:p w14:paraId="5547E4B9" w14:textId="77777777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Osie modularne budynku wyznaczyć w terenie i przenosić na kolejne kondygnacje metodami geodezyjnymi.</w:t>
      </w:r>
    </w:p>
    <w:p w14:paraId="421E8026" w14:textId="71488C00" w:rsidR="00A119AD" w:rsidRPr="00A119AD" w:rsidRDefault="00A119AD" w:rsidP="00A119AD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 xml:space="preserve">W trakcie </w:t>
      </w:r>
      <w:r w:rsidR="00204889">
        <w:rPr>
          <w:rFonts w:ascii="Arial" w:hAnsi="Arial" w:cs="Arial"/>
          <w:sz w:val="22"/>
        </w:rPr>
        <w:t>prowadzenia prac</w:t>
      </w:r>
      <w:r w:rsidRPr="00A119AD">
        <w:rPr>
          <w:rFonts w:ascii="Arial" w:hAnsi="Arial" w:cs="Arial"/>
          <w:sz w:val="22"/>
        </w:rPr>
        <w:t xml:space="preserve"> prowadzić stały monitoring obiektu.</w:t>
      </w:r>
    </w:p>
    <w:p w14:paraId="310792C3" w14:textId="37DCD368" w:rsidR="00A119AD" w:rsidRPr="00204889" w:rsidRDefault="00A119AD" w:rsidP="00204889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rFonts w:ascii="Arial" w:hAnsi="Arial" w:cs="Arial"/>
          <w:sz w:val="22"/>
        </w:rPr>
      </w:pPr>
      <w:r w:rsidRPr="00A119AD">
        <w:rPr>
          <w:rFonts w:ascii="Arial" w:hAnsi="Arial" w:cs="Arial"/>
          <w:sz w:val="22"/>
        </w:rPr>
        <w:t>Nie dopuszcza się stosowania innych materiałów niż przewidziano w projekcie bez zgody projektanta konstrukcji.</w:t>
      </w:r>
    </w:p>
    <w:p w14:paraId="0A96181D" w14:textId="77777777" w:rsidR="00A119AD" w:rsidRPr="00A119AD" w:rsidRDefault="00A119AD" w:rsidP="00A119AD">
      <w:pPr>
        <w:rPr>
          <w:rFonts w:ascii="Arial" w:hAnsi="Arial" w:cs="Arial"/>
          <w:color w:val="FF0000"/>
          <w:sz w:val="20"/>
        </w:rPr>
      </w:pPr>
    </w:p>
    <w:p w14:paraId="3B27B8C6" w14:textId="77777777" w:rsidR="00A119AD" w:rsidRPr="00A119AD" w:rsidRDefault="00A119AD" w:rsidP="00A119AD">
      <w:pPr>
        <w:rPr>
          <w:rFonts w:ascii="Arial" w:hAnsi="Arial" w:cs="Arial"/>
          <w:sz w:val="20"/>
        </w:rPr>
      </w:pPr>
    </w:p>
    <w:p w14:paraId="7DE84C28" w14:textId="77777777" w:rsidR="00A119AD" w:rsidRPr="00A119AD" w:rsidRDefault="00A119AD" w:rsidP="00A119AD">
      <w:pPr>
        <w:pStyle w:val="Nagwek1"/>
        <w:spacing w:before="120" w:after="120"/>
        <w:jc w:val="left"/>
        <w:rPr>
          <w:rFonts w:ascii="Arial" w:hAnsi="Arial" w:cs="Arial"/>
        </w:rPr>
      </w:pPr>
      <w:bookmarkStart w:id="3" w:name="_Toc157639093"/>
      <w:r w:rsidRPr="00A119AD">
        <w:rPr>
          <w:rFonts w:ascii="Arial" w:hAnsi="Arial" w:cs="Arial"/>
        </w:rPr>
        <w:lastRenderedPageBreak/>
        <w:t>2. OBLICZENIA STATYCZNE</w:t>
      </w:r>
      <w:bookmarkEnd w:id="3"/>
    </w:p>
    <w:p w14:paraId="53BE9EA1" w14:textId="77777777" w:rsidR="00A119AD" w:rsidRDefault="00A119AD" w:rsidP="00A119AD">
      <w:pPr>
        <w:pStyle w:val="Nagwek2"/>
        <w:rPr>
          <w:rFonts w:ascii="Arial" w:hAnsi="Arial" w:cs="Arial"/>
        </w:rPr>
      </w:pPr>
      <w:bookmarkStart w:id="4" w:name="_Toc157639094"/>
      <w:r w:rsidRPr="00A119AD">
        <w:rPr>
          <w:rFonts w:ascii="Arial" w:hAnsi="Arial" w:cs="Arial"/>
        </w:rPr>
        <w:t>2.1. SPIS LITERATURY</w:t>
      </w:r>
      <w:bookmarkEnd w:id="4"/>
    </w:p>
    <w:p w14:paraId="5960BE07" w14:textId="77777777" w:rsidR="00EC281C" w:rsidRPr="00EC281C" w:rsidRDefault="00EC281C" w:rsidP="00EC281C">
      <w:pPr>
        <w:rPr>
          <w:lang w:eastAsia="ar-SA"/>
        </w:rPr>
      </w:pPr>
    </w:p>
    <w:p w14:paraId="52D86951" w14:textId="77777777" w:rsidR="00A119AD" w:rsidRPr="00A119AD" w:rsidRDefault="00A119AD" w:rsidP="00A119AD">
      <w:pPr>
        <w:numPr>
          <w:ilvl w:val="0"/>
          <w:numId w:val="10"/>
        </w:numPr>
        <w:tabs>
          <w:tab w:val="num" w:pos="0"/>
        </w:tabs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 xml:space="preserve">Dz. U. z 2002 r. Nr 75 poz. 690: Rozporządzenie Ministra Infrastruktury </w:t>
      </w:r>
      <w:r w:rsidRPr="00A119AD">
        <w:rPr>
          <w:rFonts w:ascii="Arial" w:hAnsi="Arial" w:cs="Arial"/>
          <w:szCs w:val="22"/>
        </w:rPr>
        <w:br/>
        <w:t>w sprawie warunków technicznych, jakim powinny odpowiadać budynki i ich usytuowanie;</w:t>
      </w:r>
    </w:p>
    <w:p w14:paraId="534D38AB" w14:textId="77777777" w:rsidR="00A119AD" w:rsidRPr="00A119AD" w:rsidRDefault="00A119AD" w:rsidP="00A119AD">
      <w:pPr>
        <w:numPr>
          <w:ilvl w:val="0"/>
          <w:numId w:val="10"/>
        </w:numPr>
        <w:tabs>
          <w:tab w:val="num" w:pos="0"/>
        </w:tabs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Dz. U. z 2003 r. Nr 33 poz. 270: Rozporządzenie Ministra Infrastruktury z dnia 13 lutego 2003 r. zmieniające rozporządzenie w sprawie warunków technicznych, jakim powinny odpowiadać budynki i ich usytuowanie;</w:t>
      </w:r>
    </w:p>
    <w:p w14:paraId="5483D5B5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Dz. U. z 2004 r. Nr 109 poz. 1156: Rozporządzenie Ministra Infrastruktury z dnia 7 kwietnia 2004 r. zmieniające rozporządzenie w sprawie warunków technicznych, jakim powinny odpowiadać budynki i ich usytuowanie;</w:t>
      </w:r>
    </w:p>
    <w:p w14:paraId="60AA5592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 xml:space="preserve">Dz. U. z 1994 r. Nr 89 poz. 414: Ustawa z dnia 7 lipca 1994 r. - Prawo budowlane </w:t>
      </w:r>
      <w:r w:rsidRPr="00A119AD">
        <w:rPr>
          <w:rFonts w:ascii="Arial" w:hAnsi="Arial" w:cs="Arial"/>
          <w:szCs w:val="22"/>
        </w:rPr>
        <w:br/>
        <w:t>(z późniejszymi zmianami);</w:t>
      </w:r>
    </w:p>
    <w:p w14:paraId="01A1B38F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Dz. U. z 2003 r. Nr 47 poz. 401: Rozporządzenie Ministra Infrastruktury z dnia 6lutego 2003 r. w sprawie bezpieczeństwa i higieny pracy podczas wykonywania robót budowlanych;</w:t>
      </w:r>
    </w:p>
    <w:p w14:paraId="33722F8B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PN-EN 1990-2004 – Podstawy projektowania konstrukcji;</w:t>
      </w:r>
    </w:p>
    <w:p w14:paraId="3E96C2FC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PN-EN 1991-1-1-2004, Część 1-1 – Oddziaływania na konstrukcje; Oddziaływania ogólne, Ciężar objętościowy, ciężar własny, obciążenia użytkowe w budynkach;</w:t>
      </w:r>
    </w:p>
    <w:p w14:paraId="38C31A92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PN-EN 1991-1-3-2005, Część 1-3 – Oddziaływania na konstrukcje; Oddziaływania ogólne – Obciążenie śniegiem;</w:t>
      </w:r>
    </w:p>
    <w:p w14:paraId="2FDF2D1B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PN-EN 1991-1-4-2008, Część 1-4 – Oddziaływania na konstrukcje; Oddziaływania ogólne – Oddziaływania wiatru;</w:t>
      </w:r>
    </w:p>
    <w:p w14:paraId="1FD22506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>PN-EN 1992-1-1-2008, Część 1-1 – Projektowanie konstrukcji z betonu; Reguły ogólne i reguły dla budynków.</w:t>
      </w:r>
    </w:p>
    <w:p w14:paraId="5BE32434" w14:textId="77777777" w:rsidR="00A119AD" w:rsidRPr="00A119AD" w:rsidRDefault="00A119AD" w:rsidP="00A119AD">
      <w:pPr>
        <w:numPr>
          <w:ilvl w:val="0"/>
          <w:numId w:val="10"/>
        </w:numPr>
        <w:suppressAutoHyphens/>
        <w:spacing w:line="360" w:lineRule="auto"/>
        <w:contextualSpacing/>
        <w:jc w:val="both"/>
        <w:rPr>
          <w:rFonts w:ascii="Arial" w:hAnsi="Arial" w:cs="Arial"/>
          <w:szCs w:val="22"/>
        </w:rPr>
      </w:pPr>
      <w:r w:rsidRPr="00A119AD">
        <w:rPr>
          <w:rFonts w:ascii="Arial" w:hAnsi="Arial" w:cs="Arial"/>
          <w:szCs w:val="22"/>
        </w:rPr>
        <w:t xml:space="preserve">PN-EN 1995-1-1:2010 </w:t>
      </w:r>
      <w:proofErr w:type="spellStart"/>
      <w:r w:rsidRPr="00A119AD">
        <w:rPr>
          <w:rFonts w:ascii="Arial" w:hAnsi="Arial" w:cs="Arial"/>
          <w:szCs w:val="22"/>
        </w:rPr>
        <w:t>Eurokod</w:t>
      </w:r>
      <w:proofErr w:type="spellEnd"/>
      <w:r w:rsidRPr="00A119AD">
        <w:rPr>
          <w:rFonts w:ascii="Arial" w:hAnsi="Arial" w:cs="Arial"/>
          <w:szCs w:val="22"/>
        </w:rPr>
        <w:t xml:space="preserve"> 5 - Projektowanie konstrukcji drewnianych; Reguły ogólne i reguły dotyczące budynków;  </w:t>
      </w:r>
    </w:p>
    <w:p w14:paraId="3918FF7F" w14:textId="77777777" w:rsidR="00A119AD" w:rsidRDefault="00A119AD" w:rsidP="00A119AD">
      <w:pPr>
        <w:spacing w:after="160" w:line="259" w:lineRule="auto"/>
        <w:rPr>
          <w:rFonts w:ascii="Arial" w:eastAsiaTheme="majorEastAsia" w:hAnsi="Arial" w:cs="Arial"/>
          <w:b/>
          <w:bCs/>
          <w:color w:val="FF0000"/>
          <w:szCs w:val="26"/>
        </w:rPr>
      </w:pPr>
    </w:p>
    <w:p w14:paraId="5F1C0882" w14:textId="77777777" w:rsidR="00EC281C" w:rsidRPr="00A119AD" w:rsidRDefault="00EC281C" w:rsidP="00A119AD">
      <w:pPr>
        <w:spacing w:after="160" w:line="259" w:lineRule="auto"/>
        <w:rPr>
          <w:rFonts w:ascii="Arial" w:eastAsiaTheme="majorEastAsia" w:hAnsi="Arial" w:cs="Arial"/>
          <w:b/>
          <w:bCs/>
          <w:color w:val="FF0000"/>
          <w:szCs w:val="26"/>
        </w:rPr>
      </w:pPr>
    </w:p>
    <w:p w14:paraId="0F0E8607" w14:textId="77777777" w:rsidR="00A119AD" w:rsidRPr="00A119AD" w:rsidRDefault="00A119AD" w:rsidP="00A119AD">
      <w:pPr>
        <w:pStyle w:val="Nagwek2"/>
        <w:rPr>
          <w:rFonts w:ascii="Arial" w:hAnsi="Arial" w:cs="Arial"/>
        </w:rPr>
      </w:pPr>
      <w:bookmarkStart w:id="5" w:name="_Toc157639095"/>
      <w:r w:rsidRPr="00A119AD">
        <w:rPr>
          <w:rFonts w:ascii="Arial" w:hAnsi="Arial" w:cs="Arial"/>
        </w:rPr>
        <w:lastRenderedPageBreak/>
        <w:t>2.2. ZESTAWIENIE OBCIĄŻEŃ</w:t>
      </w:r>
      <w:bookmarkEnd w:id="5"/>
    </w:p>
    <w:p w14:paraId="3B387AAF" w14:textId="77777777" w:rsidR="00A119AD" w:rsidRPr="00A119AD" w:rsidRDefault="00A119AD" w:rsidP="00A119AD">
      <w:pPr>
        <w:contextualSpacing/>
        <w:rPr>
          <w:rFonts w:ascii="Arial" w:hAnsi="Arial" w:cs="Arial"/>
          <w:u w:val="single"/>
        </w:rPr>
      </w:pPr>
      <w:r w:rsidRPr="00A119AD">
        <w:rPr>
          <w:rFonts w:ascii="Arial" w:hAnsi="Arial" w:cs="Arial"/>
          <w:u w:val="single"/>
        </w:rPr>
        <w:t>Obciążenia stałe:</w:t>
      </w:r>
    </w:p>
    <w:p w14:paraId="594E5137" w14:textId="77777777" w:rsidR="00A119AD" w:rsidRPr="00A119AD" w:rsidRDefault="00A119AD" w:rsidP="00A119AD">
      <w:pPr>
        <w:rPr>
          <w:rFonts w:ascii="Arial" w:hAnsi="Arial" w:cs="Arial"/>
        </w:rPr>
      </w:pPr>
    </w:p>
    <w:p w14:paraId="2C8E8605" w14:textId="77777777" w:rsidR="00A119AD" w:rsidRPr="00A119AD" w:rsidRDefault="00A119AD" w:rsidP="00A119AD">
      <w:pPr>
        <w:pStyle w:val="Akapitzlist"/>
        <w:numPr>
          <w:ilvl w:val="0"/>
          <w:numId w:val="13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A119AD">
        <w:rPr>
          <w:rFonts w:ascii="Arial" w:hAnsi="Arial" w:cs="Arial"/>
          <w:sz w:val="22"/>
        </w:rPr>
        <w:t>Obciążenia dachu budynku mieszkalnego</w:t>
      </w:r>
    </w:p>
    <w:tbl>
      <w:tblPr>
        <w:tblW w:w="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"/>
        <w:gridCol w:w="2609"/>
        <w:gridCol w:w="1559"/>
        <w:gridCol w:w="2907"/>
      </w:tblGrid>
      <w:tr w:rsidR="00A119AD" w:rsidRPr="00A119AD" w14:paraId="543DBBD0" w14:textId="77777777" w:rsidTr="00C11DCF">
        <w:trPr>
          <w:trHeight w:val="705"/>
        </w:trPr>
        <w:tc>
          <w:tcPr>
            <w:tcW w:w="9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B83BE4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DE7E02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94E706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Grubość [m]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6F91EA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Obciążenie charakterystyczne [</w:t>
            </w:r>
            <w:proofErr w:type="spellStart"/>
            <w:r w:rsidRPr="00A119AD">
              <w:rPr>
                <w:rFonts w:ascii="Arial" w:hAnsi="Arial" w:cs="Arial"/>
                <w:b/>
                <w:bCs/>
              </w:rPr>
              <w:t>kN</w:t>
            </w:r>
            <w:proofErr w:type="spellEnd"/>
            <w:r w:rsidRPr="00A119AD">
              <w:rPr>
                <w:rFonts w:ascii="Arial" w:hAnsi="Arial" w:cs="Arial"/>
                <w:b/>
                <w:bCs/>
              </w:rPr>
              <w:t>/m2]</w:t>
            </w:r>
          </w:p>
        </w:tc>
      </w:tr>
      <w:tr w:rsidR="00A119AD" w:rsidRPr="00A119AD" w14:paraId="2AC12F5D" w14:textId="77777777" w:rsidTr="00C11DCF">
        <w:trPr>
          <w:trHeight w:val="36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AF380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C66A4" w14:textId="77777777" w:rsidR="00A119AD" w:rsidRPr="00A119AD" w:rsidRDefault="00A119AD" w:rsidP="00C11DCF">
            <w:pPr>
              <w:rPr>
                <w:rFonts w:ascii="Arial" w:hAnsi="Arial" w:cs="Arial"/>
              </w:rPr>
            </w:pPr>
            <w:proofErr w:type="spellStart"/>
            <w:r w:rsidRPr="00A119AD">
              <w:rPr>
                <w:rFonts w:ascii="Arial" w:hAnsi="Arial" w:cs="Arial"/>
              </w:rPr>
              <w:t>Blachaodachówka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A860F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-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5B72D" w14:textId="2F6307F8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</w:t>
            </w:r>
            <w:r w:rsidR="00204889">
              <w:rPr>
                <w:rFonts w:ascii="Arial" w:hAnsi="Arial" w:cs="Arial"/>
              </w:rPr>
              <w:t>15</w:t>
            </w:r>
          </w:p>
        </w:tc>
      </w:tr>
      <w:tr w:rsidR="00A119AD" w:rsidRPr="00A119AD" w14:paraId="4D043D57" w14:textId="77777777" w:rsidTr="00C11DCF">
        <w:trPr>
          <w:trHeight w:val="36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2B97B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29474" w14:textId="77777777" w:rsidR="00A119AD" w:rsidRPr="00A119AD" w:rsidRDefault="00A119AD" w:rsidP="00C11DCF">
            <w:pPr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Łaty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5E7C7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0,04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99BA0" w14:textId="05358E43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0,02</w:t>
            </w:r>
            <w:r w:rsidR="00204889">
              <w:rPr>
                <w:rFonts w:ascii="Arial" w:hAnsi="Arial" w:cs="Arial"/>
              </w:rPr>
              <w:t>5</w:t>
            </w:r>
          </w:p>
        </w:tc>
      </w:tr>
      <w:tr w:rsidR="00A119AD" w:rsidRPr="00A119AD" w14:paraId="41FC8E1C" w14:textId="77777777" w:rsidTr="00C11DCF">
        <w:trPr>
          <w:trHeight w:val="36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201F5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1D531" w14:textId="77777777" w:rsidR="00A119AD" w:rsidRPr="00A119AD" w:rsidRDefault="00A119AD" w:rsidP="00C11DCF">
            <w:pPr>
              <w:rPr>
                <w:rFonts w:ascii="Arial" w:hAnsi="Arial" w:cs="Arial"/>
              </w:rPr>
            </w:pPr>
            <w:proofErr w:type="spellStart"/>
            <w:r w:rsidRPr="00A119AD">
              <w:rPr>
                <w:rFonts w:ascii="Arial" w:hAnsi="Arial" w:cs="Arial"/>
              </w:rPr>
              <w:t>Kontrłaty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C93B0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0,02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AAD70" w14:textId="729F59A8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0,02</w:t>
            </w:r>
            <w:r w:rsidR="00204889">
              <w:rPr>
                <w:rFonts w:ascii="Arial" w:hAnsi="Arial" w:cs="Arial"/>
              </w:rPr>
              <w:t>5</w:t>
            </w:r>
          </w:p>
        </w:tc>
      </w:tr>
      <w:tr w:rsidR="00A119AD" w:rsidRPr="00A119AD" w14:paraId="3EA445C8" w14:textId="77777777" w:rsidTr="00C11DCF">
        <w:trPr>
          <w:trHeight w:val="36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9BA5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3C9C1" w14:textId="77777777" w:rsidR="00A119AD" w:rsidRPr="00A119AD" w:rsidRDefault="00A119AD" w:rsidP="00C11DCF">
            <w:pPr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Membrana dachowa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FCF86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-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91C6C" w14:textId="6F48967F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0,0</w:t>
            </w:r>
            <w:r w:rsidR="00204889">
              <w:rPr>
                <w:rFonts w:ascii="Arial" w:hAnsi="Arial" w:cs="Arial"/>
              </w:rPr>
              <w:t>01</w:t>
            </w:r>
          </w:p>
        </w:tc>
      </w:tr>
      <w:tr w:rsidR="00A119AD" w:rsidRPr="00A119AD" w14:paraId="695953BB" w14:textId="77777777" w:rsidTr="00C11DCF">
        <w:trPr>
          <w:trHeight w:val="360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5EEBC" w14:textId="77777777" w:rsidR="00A119AD" w:rsidRPr="00A119AD" w:rsidRDefault="00A119AD" w:rsidP="00C11DCF">
            <w:pPr>
              <w:jc w:val="center"/>
              <w:rPr>
                <w:rFonts w:ascii="Arial" w:hAnsi="Arial" w:cs="Arial"/>
                <w:b/>
                <w:bCs/>
              </w:rPr>
            </w:pPr>
            <w:r w:rsidRPr="00A119AD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47D69" w14:textId="77777777" w:rsidR="00A119AD" w:rsidRPr="00A119AD" w:rsidRDefault="00A119AD" w:rsidP="00C11DCF">
            <w:pPr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Krokwie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FBFA30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0,20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B9E380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Przyjęto w programie</w:t>
            </w:r>
          </w:p>
        </w:tc>
      </w:tr>
      <w:tr w:rsidR="00A119AD" w:rsidRPr="00A119AD" w14:paraId="04A68A9C" w14:textId="77777777" w:rsidTr="00C11DCF">
        <w:trPr>
          <w:trHeight w:val="345"/>
        </w:trPr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DE146" w14:textId="77777777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20B5" w14:textId="77777777" w:rsidR="00A119AD" w:rsidRPr="00A119AD" w:rsidRDefault="00A119AD" w:rsidP="00C11DC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9745" w14:textId="77777777" w:rsidR="00A119AD" w:rsidRPr="00A119AD" w:rsidRDefault="00A119AD" w:rsidP="00C11DCF">
            <w:pPr>
              <w:jc w:val="right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Σ=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11E6" w14:textId="69667392" w:rsidR="00A119AD" w:rsidRPr="00A119AD" w:rsidRDefault="00A119AD" w:rsidP="00C11DCF">
            <w:pPr>
              <w:jc w:val="center"/>
              <w:rPr>
                <w:rFonts w:ascii="Arial" w:hAnsi="Arial" w:cs="Arial"/>
              </w:rPr>
            </w:pPr>
            <w:r w:rsidRPr="00A119AD">
              <w:rPr>
                <w:rFonts w:ascii="Arial" w:hAnsi="Arial" w:cs="Arial"/>
              </w:rPr>
              <w:t>0,</w:t>
            </w:r>
            <w:r w:rsidR="00204889">
              <w:rPr>
                <w:rFonts w:ascii="Arial" w:hAnsi="Arial" w:cs="Arial"/>
              </w:rPr>
              <w:t>20</w:t>
            </w:r>
          </w:p>
        </w:tc>
      </w:tr>
    </w:tbl>
    <w:p w14:paraId="13BF5EA3" w14:textId="77777777" w:rsidR="00204889" w:rsidRDefault="00204889" w:rsidP="00A119AD">
      <w:pPr>
        <w:rPr>
          <w:rFonts w:ascii="Arial" w:hAnsi="Arial" w:cs="Arial"/>
        </w:rPr>
      </w:pPr>
    </w:p>
    <w:p w14:paraId="68244DC9" w14:textId="77777777" w:rsidR="00204889" w:rsidRPr="00A119AD" w:rsidRDefault="00204889" w:rsidP="00A119AD">
      <w:pPr>
        <w:rPr>
          <w:rFonts w:ascii="Arial" w:hAnsi="Arial" w:cs="Arial"/>
        </w:rPr>
      </w:pPr>
    </w:p>
    <w:p w14:paraId="6B76E049" w14:textId="77777777" w:rsidR="00A119AD" w:rsidRPr="00A119AD" w:rsidRDefault="00A119AD" w:rsidP="00A119AD">
      <w:pPr>
        <w:contextualSpacing/>
        <w:rPr>
          <w:rFonts w:ascii="Arial" w:hAnsi="Arial" w:cs="Arial"/>
          <w:u w:val="single"/>
        </w:rPr>
      </w:pPr>
      <w:r w:rsidRPr="00A119AD">
        <w:rPr>
          <w:rFonts w:ascii="Arial" w:hAnsi="Arial" w:cs="Arial"/>
          <w:u w:val="single"/>
        </w:rPr>
        <w:t>Obciążenia użytkowe:</w:t>
      </w:r>
    </w:p>
    <w:p w14:paraId="4F0A2379" w14:textId="64207AF9" w:rsidR="00A119AD" w:rsidRPr="00A119AD" w:rsidRDefault="00A119AD" w:rsidP="00A119AD">
      <w:pPr>
        <w:numPr>
          <w:ilvl w:val="0"/>
          <w:numId w:val="11"/>
        </w:numPr>
        <w:suppressAutoHyphens/>
        <w:spacing w:line="360" w:lineRule="auto"/>
        <w:ind w:left="709"/>
        <w:jc w:val="both"/>
        <w:rPr>
          <w:rFonts w:ascii="Arial" w:eastAsia="Calibri" w:hAnsi="Arial" w:cs="Arial"/>
          <w:szCs w:val="22"/>
          <w:lang w:eastAsia="en-US"/>
        </w:rPr>
      </w:pPr>
      <w:r w:rsidRPr="00A119AD">
        <w:rPr>
          <w:rFonts w:ascii="Arial" w:eastAsia="Calibri" w:hAnsi="Arial" w:cs="Arial"/>
          <w:szCs w:val="22"/>
          <w:lang w:eastAsia="en-US"/>
        </w:rPr>
        <w:t xml:space="preserve">Na dachu przyjęto charakterystyczną wartość obciążenia użytkowego </w:t>
      </w:r>
      <w:r w:rsidRPr="00A119AD">
        <w:rPr>
          <w:rFonts w:ascii="Arial" w:hAnsi="Arial" w:cs="Arial"/>
        </w:rPr>
        <w:t xml:space="preserve">o wartości </w:t>
      </w:r>
      <w:r w:rsidRPr="00A119AD">
        <w:rPr>
          <w:rFonts w:ascii="Arial" w:eastAsia="Calibri" w:hAnsi="Arial" w:cs="Arial"/>
          <w:szCs w:val="22"/>
          <w:lang w:eastAsia="en-US"/>
        </w:rPr>
        <w:t>0,</w:t>
      </w:r>
      <w:r w:rsidR="00204889">
        <w:rPr>
          <w:rFonts w:ascii="Arial" w:eastAsia="Calibri" w:hAnsi="Arial" w:cs="Arial"/>
          <w:szCs w:val="22"/>
          <w:lang w:eastAsia="en-US"/>
        </w:rPr>
        <w:t>5</w:t>
      </w:r>
      <w:r w:rsidRPr="00A119AD">
        <w:rPr>
          <w:rFonts w:ascii="Arial" w:eastAsia="Calibri" w:hAnsi="Arial" w:cs="Arial"/>
          <w:szCs w:val="22"/>
          <w:lang w:eastAsia="en-US"/>
        </w:rPr>
        <w:t xml:space="preserve"> </w:t>
      </w:r>
      <w:proofErr w:type="spellStart"/>
      <w:r w:rsidRPr="00A119AD">
        <w:rPr>
          <w:rFonts w:ascii="Arial" w:eastAsia="Calibri" w:hAnsi="Arial" w:cs="Arial"/>
          <w:szCs w:val="22"/>
          <w:lang w:eastAsia="en-US"/>
        </w:rPr>
        <w:t>kN</w:t>
      </w:r>
      <w:proofErr w:type="spellEnd"/>
      <w:r w:rsidRPr="00A119AD">
        <w:rPr>
          <w:rFonts w:ascii="Arial" w:eastAsia="Calibri" w:hAnsi="Arial" w:cs="Arial"/>
          <w:szCs w:val="22"/>
          <w:lang w:eastAsia="en-US"/>
        </w:rPr>
        <w:t xml:space="preserve">/m2. </w:t>
      </w:r>
    </w:p>
    <w:p w14:paraId="52FFC753" w14:textId="77777777" w:rsidR="00A119AD" w:rsidRPr="00A119AD" w:rsidRDefault="00A119AD" w:rsidP="00A119AD">
      <w:pPr>
        <w:suppressAutoHyphens/>
        <w:ind w:left="567"/>
        <w:rPr>
          <w:rFonts w:ascii="Arial" w:eastAsia="Calibri" w:hAnsi="Arial" w:cs="Arial"/>
          <w:szCs w:val="22"/>
          <w:lang w:eastAsia="en-US"/>
        </w:rPr>
      </w:pPr>
    </w:p>
    <w:p w14:paraId="398EAA59" w14:textId="1C4F9C32" w:rsidR="00A119AD" w:rsidRPr="00A119AD" w:rsidRDefault="00A119AD" w:rsidP="00A119AD">
      <w:pPr>
        <w:contextualSpacing/>
        <w:rPr>
          <w:rFonts w:ascii="Arial" w:hAnsi="Arial" w:cs="Arial"/>
          <w:u w:val="single"/>
        </w:rPr>
      </w:pPr>
      <w:r w:rsidRPr="00A119AD">
        <w:rPr>
          <w:rFonts w:ascii="Arial" w:hAnsi="Arial" w:cs="Arial"/>
          <w:u w:val="single"/>
        </w:rPr>
        <w:t>Obciążenia śniegiem</w:t>
      </w:r>
      <w:r w:rsidR="00204889">
        <w:rPr>
          <w:rFonts w:ascii="Arial" w:hAnsi="Arial" w:cs="Arial"/>
          <w:u w:val="single"/>
        </w:rPr>
        <w:t xml:space="preserve"> lukarn</w:t>
      </w:r>
      <w:r w:rsidRPr="00A119AD">
        <w:rPr>
          <w:rFonts w:ascii="Arial" w:hAnsi="Arial" w:cs="Arial"/>
          <w:u w:val="single"/>
        </w:rPr>
        <w:t>:</w:t>
      </w:r>
    </w:p>
    <w:p w14:paraId="3129E117" w14:textId="77777777" w:rsidR="00A119AD" w:rsidRPr="00A119AD" w:rsidRDefault="00A119AD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S</m:t>
          </m:r>
          <m:r>
            <m:rPr>
              <m:sty m:val="p"/>
            </m:rPr>
            <w:rPr>
              <w:rFonts w:ascii="Cambria Math" w:hAnsi="Cambria Math" w:cs="Arial"/>
            </w:rPr>
            <m:t xml:space="preserve"> = 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μ</m:t>
              </m:r>
            </m:e>
            <m:sub>
              <m:r>
                <w:rPr>
                  <w:rFonts w:ascii="Cambria Math" w:hAnsi="Cambria Math" w:cs="Arial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e</m:t>
              </m:r>
            </m:sub>
          </m:sSub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S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</m:oMath>
      </m:oMathPara>
    </w:p>
    <w:p w14:paraId="2EACF125" w14:textId="4FF2240D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μ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=0,80</m:t>
        </m:r>
      </m:oMath>
      <w:r w:rsidR="00A119AD" w:rsidRPr="00A119AD">
        <w:rPr>
          <w:rFonts w:ascii="Arial" w:hAnsi="Arial" w:cs="Arial"/>
        </w:rPr>
        <w:t xml:space="preserve"> – współczynnik kształtu dachu dla kąta pochylenia 2</w:t>
      </w:r>
      <w:r w:rsidR="00204889">
        <w:rPr>
          <w:rFonts w:ascii="Arial" w:hAnsi="Arial" w:cs="Arial"/>
        </w:rPr>
        <w:t>0-30</w:t>
      </w:r>
      <w:r w:rsidR="00A119AD" w:rsidRPr="00A119AD">
        <w:rPr>
          <w:rFonts w:ascii="Arial" w:hAnsi="Arial" w:cs="Arial"/>
        </w:rPr>
        <w:t>°</w:t>
      </w:r>
    </w:p>
    <w:p w14:paraId="3BABDE5A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=1,0</m:t>
        </m:r>
      </m:oMath>
      <w:r w:rsidR="00A119AD" w:rsidRPr="00A119AD">
        <w:rPr>
          <w:rFonts w:ascii="Arial" w:hAnsi="Arial" w:cs="Arial"/>
        </w:rPr>
        <w:t xml:space="preserve"> – współczynnik ekspozycji – teren normalny</w:t>
      </w:r>
    </w:p>
    <w:p w14:paraId="4B7DE83A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t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=1,0</m:t>
        </m:r>
      </m:oMath>
      <w:r w:rsidR="00A119AD" w:rsidRPr="00A119AD">
        <w:rPr>
          <w:rFonts w:ascii="Arial" w:hAnsi="Arial" w:cs="Arial"/>
        </w:rPr>
        <w:t xml:space="preserve"> – współczynnik termiczny</w:t>
      </w:r>
    </w:p>
    <w:p w14:paraId="3842E87D" w14:textId="11B78764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S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 xml:space="preserve">1,6 </m:t>
        </m:r>
        <m:r>
          <w:rPr>
            <w:rFonts w:ascii="Cambria Math" w:hAnsi="Cambria Math" w:cs="Arial"/>
          </w:rPr>
          <m:t>kN</m:t>
        </m:r>
        <m:r>
          <m:rPr>
            <m:sty m:val="p"/>
          </m:rPr>
          <w:rPr>
            <w:rFonts w:ascii="Cambria Math" w:hAnsi="Cambria Math" w:cs="Arial"/>
          </w:rPr>
          <m:t>/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2</m:t>
            </m:r>
          </m:sup>
        </m:sSup>
      </m:oMath>
      <w:r w:rsidR="00A119AD" w:rsidRPr="00A119AD">
        <w:rPr>
          <w:rFonts w:ascii="Arial" w:hAnsi="Arial" w:cs="Arial"/>
        </w:rPr>
        <w:t xml:space="preserve">– obciążenie śniegiem dla strefy </w:t>
      </w:r>
      <w:r w:rsidR="00993741">
        <w:rPr>
          <w:rFonts w:ascii="Arial" w:hAnsi="Arial" w:cs="Arial"/>
        </w:rPr>
        <w:t>4</w:t>
      </w:r>
    </w:p>
    <w:p w14:paraId="79DDE111" w14:textId="12563E3B" w:rsidR="00A119AD" w:rsidRPr="00A119AD" w:rsidRDefault="00A119AD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S</m:t>
          </m:r>
          <m:r>
            <m:rPr>
              <m:sty m:val="p"/>
            </m:rPr>
            <w:rPr>
              <w:rFonts w:ascii="Cambria Math" w:hAnsi="Cambria Math" w:cs="Arial"/>
            </w:rPr>
            <m:t xml:space="preserve"> = 0,80∙1,0∙1,0∙</m:t>
          </m:r>
          <m:r>
            <m:rPr>
              <m:sty m:val="p"/>
            </m:rPr>
            <w:rPr>
              <w:rFonts w:ascii="Cambria Math" w:hAnsi="Cambria Math" w:cs="Arial"/>
            </w:rPr>
            <m:t>1,6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>1</m:t>
          </m:r>
          <m:r>
            <m:rPr>
              <m:sty m:val="p"/>
            </m:rPr>
            <w:rPr>
              <w:rFonts w:ascii="Cambria Math" w:hAnsi="Cambria Math" w:cs="Arial"/>
            </w:rPr>
            <m:t>,</m:t>
          </m:r>
          <m:r>
            <m:rPr>
              <m:sty m:val="p"/>
            </m:rPr>
            <w:rPr>
              <w:rFonts w:ascii="Cambria Math" w:hAnsi="Cambria Math" w:cs="Arial"/>
            </w:rPr>
            <m:t>28</m:t>
          </m:r>
          <m:r>
            <w:rPr>
              <w:rFonts w:ascii="Cambria Math" w:hAnsi="Cambria Math" w:cs="Arial"/>
            </w:rPr>
            <m:t>kN</m:t>
          </m:r>
          <m:r>
            <m:rPr>
              <m:sty m:val="p"/>
            </m:rPr>
            <w:rPr>
              <w:rFonts w:ascii="Cambria Math" w:hAnsi="Cambria Math" w:cs="Arial"/>
            </w:rPr>
            <m:t>/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w:rPr>
                  <w:rFonts w:ascii="Cambria Math" w:hAnsi="Cambria Math" w:cs="Arial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2</m:t>
              </m:r>
            </m:sup>
          </m:sSup>
        </m:oMath>
      </m:oMathPara>
    </w:p>
    <w:p w14:paraId="50104B53" w14:textId="77777777" w:rsidR="00A119AD" w:rsidRPr="00A119AD" w:rsidRDefault="00A119AD" w:rsidP="00A119AD">
      <w:pPr>
        <w:rPr>
          <w:rFonts w:ascii="Arial" w:hAnsi="Arial" w:cs="Arial"/>
        </w:rPr>
      </w:pPr>
    </w:p>
    <w:p w14:paraId="1C269CA0" w14:textId="77777777" w:rsidR="00A119AD" w:rsidRPr="00A119AD" w:rsidRDefault="00A119AD" w:rsidP="00A119AD">
      <w:pPr>
        <w:contextualSpacing/>
        <w:rPr>
          <w:rFonts w:ascii="Arial" w:hAnsi="Arial" w:cs="Arial"/>
          <w:u w:val="single"/>
        </w:rPr>
      </w:pPr>
      <w:r w:rsidRPr="00A119AD">
        <w:rPr>
          <w:rFonts w:ascii="Arial" w:hAnsi="Arial" w:cs="Arial"/>
          <w:u w:val="single"/>
        </w:rPr>
        <w:t>Obciążenie wiatrem (budynek mieszkalny):</w:t>
      </w:r>
    </w:p>
    <w:p w14:paraId="10536811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w</m:t>
            </m:r>
          </m:e>
          <m:sub>
            <m:r>
              <w:rPr>
                <w:rFonts w:ascii="Cambria Math" w:hAnsi="Cambria Math" w:cs="Arial"/>
              </w:rPr>
              <m:t>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(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z</m:t>
            </m:r>
          </m:e>
          <m:sub>
            <m:r>
              <w:rPr>
                <w:rFonts w:ascii="Cambria Math" w:hAnsi="Cambria Math" w:cs="Arial"/>
              </w:rPr>
              <m:t>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)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pe</m:t>
            </m:r>
          </m:sub>
        </m:sSub>
      </m:oMath>
      <w:r w:rsidR="00A119AD" w:rsidRPr="00A119AD">
        <w:rPr>
          <w:rFonts w:ascii="Arial" w:hAnsi="Arial" w:cs="Arial"/>
        </w:rPr>
        <w:t xml:space="preserve"> - ciśnienie wiatru działające na powierzchnie zewnętrzne </w:t>
      </w:r>
    </w:p>
    <w:p w14:paraId="6ACC01A8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w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(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z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)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pi</m:t>
            </m:r>
          </m:sub>
        </m:sSub>
      </m:oMath>
      <w:r w:rsidR="00A119AD" w:rsidRPr="00A119AD">
        <w:rPr>
          <w:rFonts w:ascii="Arial" w:hAnsi="Arial" w:cs="Arial"/>
        </w:rPr>
        <w:t xml:space="preserve"> - ciśnienie wiatru działające na powierzchnie wewnętrzne </w:t>
      </w:r>
    </w:p>
    <w:p w14:paraId="2F686DB0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z</m:t>
            </m:r>
          </m:e>
          <m:sub>
            <m:r>
              <w:rPr>
                <w:rFonts w:ascii="Cambria Math" w:hAnsi="Cambria Math" w:cs="Arial"/>
              </w:rPr>
              <m:t>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,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z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</m:oMath>
      <w:r w:rsidR="00A119AD" w:rsidRPr="00A119AD">
        <w:rPr>
          <w:rFonts w:ascii="Arial" w:hAnsi="Arial" w:cs="Arial"/>
        </w:rPr>
        <w:t xml:space="preserve"> - wysokości odniesienia dla ciśnienia zewnętrznego i wewnętrznego</w:t>
      </w:r>
    </w:p>
    <w:p w14:paraId="5444C2E4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pe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,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pi</m:t>
            </m:r>
          </m:sub>
        </m:sSub>
      </m:oMath>
      <w:r w:rsidR="00A119AD" w:rsidRPr="00A119AD">
        <w:rPr>
          <w:rFonts w:ascii="Arial" w:hAnsi="Arial" w:cs="Arial"/>
        </w:rPr>
        <w:t xml:space="preserve"> - wysokości współczynniki ciśnienia</w:t>
      </w:r>
    </w:p>
    <w:p w14:paraId="6CF58961" w14:textId="77777777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d>
          <m:dPr>
            <m:ctrlPr>
              <w:rPr>
                <w:rFonts w:ascii="Cambria Math" w:hAnsi="Cambria Math" w:cs="Arial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z</m:t>
                </m:r>
              </m:e>
              <m:sub>
                <m:r>
                  <w:rPr>
                    <w:rFonts w:ascii="Cambria Math" w:hAnsi="Cambria Math" w:cs="Arial"/>
                  </w:rPr>
                  <m:t>e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</w:rPr>
          <m:t>,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(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z</m:t>
            </m:r>
          </m:e>
          <m:sub>
            <m:r>
              <w:rPr>
                <w:rFonts w:ascii="Cambria Math" w:hAnsi="Cambria Math" w:cs="Arial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)</m:t>
        </m:r>
      </m:oMath>
      <w:r w:rsidR="00A119AD" w:rsidRPr="00A119AD">
        <w:rPr>
          <w:rFonts w:ascii="Arial" w:hAnsi="Arial" w:cs="Arial"/>
        </w:rPr>
        <w:t xml:space="preserve"> - wartości szczytowe ciśnienia prędkości wiatru</w:t>
      </w:r>
    </w:p>
    <w:p w14:paraId="22A4454D" w14:textId="13D5FDDC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e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</m:t>
        </m:r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Arial"/>
          </w:rPr>
          <m:t>=h=</m:t>
        </m:r>
        <m:r>
          <m:rPr>
            <m:sty m:val="p"/>
          </m:rPr>
          <w:rPr>
            <w:rFonts w:ascii="Cambria Math" w:hAnsi="Cambria Math" w:cs="Arial"/>
          </w:rPr>
          <m:t>16,00</m:t>
        </m:r>
        <m:r>
          <m:rPr>
            <m:sty m:val="p"/>
          </m:rPr>
          <w:rPr>
            <w:rFonts w:ascii="Cambria Math" w:hAnsi="Cambria Math" w:cs="Arial"/>
          </w:rPr>
          <m:t xml:space="preserve"> m</m:t>
        </m:r>
      </m:oMath>
      <w:r w:rsidR="00A119AD" w:rsidRPr="00A119AD">
        <w:rPr>
          <w:rFonts w:ascii="Arial" w:hAnsi="Arial" w:cs="Arial"/>
        </w:rPr>
        <w:t xml:space="preserve"> (wysokość w kalenicy)</w:t>
      </w:r>
    </w:p>
    <w:p w14:paraId="13036694" w14:textId="77777777" w:rsidR="00A119AD" w:rsidRPr="00A119AD" w:rsidRDefault="00A119AD" w:rsidP="00A119AD">
      <w:pPr>
        <w:rPr>
          <w:rFonts w:ascii="Arial" w:hAnsi="Arial" w:cs="Arial"/>
        </w:rPr>
      </w:pPr>
      <w:r w:rsidRPr="00A119AD">
        <w:rPr>
          <w:rFonts w:ascii="Arial" w:hAnsi="Arial" w:cs="Arial"/>
        </w:rPr>
        <w:t xml:space="preserve">- kat. terenu: III </w:t>
      </w:r>
    </w:p>
    <w:p w14:paraId="0482F9CF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e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z</m:t>
              </m:r>
            </m:e>
          </m:d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</m:sSub>
        </m:oMath>
      </m:oMathPara>
    </w:p>
    <w:p w14:paraId="2FB63CF6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</m:t>
              </m:r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=0,5</m:t>
          </m:r>
          <m:r>
            <w:rPr>
              <w:rFonts w:ascii="Cambria Math" w:hAnsi="Cambria Math" w:cs="Arial"/>
            </w:rPr>
            <m:t>ρ</m:t>
          </m:r>
          <m:sSubSup>
            <m:sSubSupPr>
              <m:ctrlPr>
                <w:rPr>
                  <w:rFonts w:ascii="Cambria Math" w:hAnsi="Cambria Math" w:cs="Arial"/>
                </w:rPr>
              </m:ctrlPr>
            </m:sSubSup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2</m:t>
              </m:r>
            </m:sup>
          </m:sSubSup>
        </m:oMath>
      </m:oMathPara>
    </w:p>
    <w:p w14:paraId="7D4D7D22" w14:textId="77777777" w:rsidR="00A119AD" w:rsidRPr="00A119AD" w:rsidRDefault="00A119AD" w:rsidP="00A119AD">
      <w:pPr>
        <w:rPr>
          <w:rFonts w:ascii="Arial" w:hAnsi="Arial" w:cs="Arial"/>
        </w:rPr>
      </w:pPr>
      <w:r w:rsidRPr="00A119AD">
        <w:rPr>
          <w:rFonts w:ascii="Arial" w:hAnsi="Arial" w:cs="Arial"/>
        </w:rPr>
        <w:t xml:space="preserve">gdzie: </w:t>
      </w:r>
      <m:oMath>
        <m:r>
          <w:rPr>
            <w:rFonts w:ascii="Cambria Math" w:hAnsi="Cambria Math" w:cs="Arial"/>
          </w:rPr>
          <m:t>ρ</m:t>
        </m:r>
        <m:r>
          <m:rPr>
            <m:sty m:val="p"/>
          </m:rPr>
          <w:rPr>
            <w:rFonts w:ascii="Cambria Math" w:hAnsi="Cambria Math" w:cs="Arial"/>
          </w:rPr>
          <m:t xml:space="preserve">=1,25 </m:t>
        </m:r>
        <m:r>
          <w:rPr>
            <w:rFonts w:ascii="Cambria Math" w:hAnsi="Cambria Math" w:cs="Arial"/>
          </w:rPr>
          <m:t>kg</m:t>
        </m:r>
        <m:r>
          <m:rPr>
            <m:sty m:val="p"/>
          </m:rPr>
          <w:rPr>
            <w:rFonts w:ascii="Cambria Math" w:hAnsi="Cambria Math" w:cs="Arial"/>
          </w:rPr>
          <m:t>/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3</m:t>
            </m:r>
          </m:sup>
        </m:sSup>
      </m:oMath>
      <w:r w:rsidRPr="00A119AD">
        <w:rPr>
          <w:rFonts w:ascii="Arial" w:hAnsi="Arial" w:cs="Arial"/>
        </w:rPr>
        <w:t xml:space="preserve"> - gęstość powietrza; </w:t>
      </w: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V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</m:oMath>
      <w:r w:rsidRPr="00A119AD">
        <w:rPr>
          <w:rFonts w:ascii="Arial" w:hAnsi="Arial" w:cs="Arial"/>
        </w:rPr>
        <w:t xml:space="preserve"> - bazowa prędkość wiatru</w:t>
      </w:r>
    </w:p>
    <w:p w14:paraId="20C68467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dir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∙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season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∙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,0</m:t>
              </m:r>
            </m:sub>
          </m:sSub>
        </m:oMath>
      </m:oMathPara>
    </w:p>
    <w:p w14:paraId="7AD2316A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dir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=1,0                 </m:t>
          </m:r>
        </m:oMath>
      </m:oMathPara>
    </w:p>
    <w:p w14:paraId="6CBEB314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season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=1,0</m:t>
          </m:r>
        </m:oMath>
      </m:oMathPara>
    </w:p>
    <w:p w14:paraId="6AE904F8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,0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=22</m:t>
          </m:r>
          <m:r>
            <w:rPr>
              <w:rFonts w:ascii="Cambria Math" w:hAnsi="Cambria Math" w:cs="Arial"/>
            </w:rPr>
            <m:t>m</m:t>
          </m:r>
          <m:r>
            <m:rPr>
              <m:sty m:val="p"/>
            </m:rPr>
            <w:rPr>
              <w:rFonts w:ascii="Cambria Math" w:hAnsi="Cambria Math" w:cs="Arial"/>
            </w:rPr>
            <m:t>/</m:t>
          </m:r>
          <m:r>
            <w:rPr>
              <w:rFonts w:ascii="Cambria Math" w:hAnsi="Cambria Math" w:cs="Arial"/>
            </w:rPr>
            <m:t>s</m:t>
          </m:r>
        </m:oMath>
      </m:oMathPara>
    </w:p>
    <w:p w14:paraId="08707DEE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V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 1∙1∙22=22</m:t>
          </m:r>
          <m:r>
            <w:rPr>
              <w:rFonts w:ascii="Cambria Math" w:hAnsi="Cambria Math" w:cs="Arial"/>
            </w:rPr>
            <m:t>m</m:t>
          </m:r>
          <m:r>
            <m:rPr>
              <m:sty m:val="p"/>
            </m:rPr>
            <w:rPr>
              <w:rFonts w:ascii="Cambria Math" w:hAnsi="Cambria Math" w:cs="Arial"/>
            </w:rPr>
            <m:t>/</m:t>
          </m:r>
          <m:r>
            <w:rPr>
              <w:rFonts w:ascii="Cambria Math" w:hAnsi="Cambria Math" w:cs="Arial"/>
            </w:rPr>
            <m:t>s</m:t>
          </m:r>
        </m:oMath>
      </m:oMathPara>
    </w:p>
    <w:p w14:paraId="5E9BD339" w14:textId="77777777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=0,5∙1,25∙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22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 xml:space="preserve">=0,303 </m:t>
          </m:r>
          <m:r>
            <w:rPr>
              <w:rFonts w:ascii="Cambria Math" w:hAnsi="Cambria Math" w:cs="Arial"/>
            </w:rPr>
            <m:t>kN</m:t>
          </m:r>
          <m:r>
            <m:rPr>
              <m:sty m:val="p"/>
            </m:rPr>
            <w:rPr>
              <w:rFonts w:ascii="Cambria Math" w:hAnsi="Cambria Math" w:cs="Arial"/>
            </w:rPr>
            <m:t>/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w:rPr>
                  <w:rFonts w:ascii="Cambria Math" w:hAnsi="Cambria Math" w:cs="Arial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2</m:t>
              </m:r>
            </m:sup>
          </m:sSup>
        </m:oMath>
      </m:oMathPara>
    </w:p>
    <w:p w14:paraId="1B0321A7" w14:textId="07D6BC3D" w:rsidR="00A119AD" w:rsidRPr="00A119AD" w:rsidRDefault="00000000" w:rsidP="00A119AD">
      <w:pPr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</w:rPr>
            </m:ctrlPr>
          </m:sSubPr>
          <m:e>
            <m:r>
              <w:rPr>
                <w:rFonts w:ascii="Cambria Math" w:hAnsi="Cambria Math" w:cs="Arial"/>
              </w:rPr>
              <m:t>C</m:t>
            </m:r>
          </m:e>
          <m:sub>
            <m:r>
              <w:rPr>
                <w:rFonts w:ascii="Cambria Math" w:hAnsi="Cambria Math" w:cs="Arial"/>
              </w:rPr>
              <m:t>e</m:t>
            </m:r>
          </m:sub>
        </m:sSub>
        <m:d>
          <m:dPr>
            <m:ctrlPr>
              <w:rPr>
                <w:rFonts w:ascii="Cambria Math" w:hAnsi="Cambria Math" w:cs="Arial"/>
              </w:rPr>
            </m:ctrlPr>
          </m:dPr>
          <m:e>
            <m:r>
              <w:rPr>
                <w:rFonts w:ascii="Cambria Math" w:hAnsi="Cambria Math" w:cs="Arial"/>
              </w:rPr>
              <m:t>z</m:t>
            </m:r>
          </m:e>
        </m:d>
        <m:r>
          <m:rPr>
            <m:sty m:val="p"/>
          </m:rPr>
          <w:rPr>
            <w:rFonts w:ascii="Cambria Math" w:hAnsi="Cambria Math" w:cs="Arial"/>
          </w:rPr>
          <m:t>=1,9∙</m:t>
        </m:r>
        <m:sSup>
          <m:sSupPr>
            <m:ctrlPr>
              <w:rPr>
                <w:rFonts w:ascii="Cambria Math" w:hAnsi="Cambria Math" w:cs="Arial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z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</w:rPr>
              <m:t>0,26</m:t>
            </m:r>
          </m:sup>
        </m:sSup>
      </m:oMath>
      <w:r w:rsidR="00A119AD" w:rsidRPr="00A119AD">
        <w:rPr>
          <w:rFonts w:ascii="Arial" w:hAnsi="Arial" w:cs="Arial"/>
        </w:rPr>
        <w:t xml:space="preserve">, gdzie </w:t>
      </w:r>
      <m:oMath>
        <m:r>
          <w:rPr>
            <w:rFonts w:ascii="Cambria Math" w:hAnsi="Cambria Math" w:cs="Arial"/>
          </w:rPr>
          <m:t>z</m:t>
        </m:r>
        <m:r>
          <m:rPr>
            <m:sty m:val="p"/>
          </m:rPr>
          <w:rPr>
            <w:rFonts w:ascii="Cambria Math" w:hAnsi="Cambria Math" w:cs="Arial"/>
          </w:rPr>
          <m:t>=</m:t>
        </m:r>
        <m:r>
          <m:rPr>
            <m:sty m:val="p"/>
          </m:rPr>
          <w:rPr>
            <w:rFonts w:ascii="Cambria Math" w:hAnsi="Cambria Math" w:cs="Arial"/>
          </w:rPr>
          <m:t>16,00</m:t>
        </m:r>
        <m:r>
          <m:rPr>
            <m:sty m:val="p"/>
          </m:rPr>
          <w:rPr>
            <w:rFonts w:ascii="Cambria Math" w:hAnsi="Cambria Math" w:cs="Arial"/>
          </w:rPr>
          <m:t xml:space="preserve">  </m:t>
        </m:r>
        <m:r>
          <w:rPr>
            <w:rFonts w:ascii="Cambria Math" w:hAnsi="Cambria Math" w:cs="Arial"/>
          </w:rPr>
          <m:t>m</m:t>
        </m:r>
      </m:oMath>
      <w:r w:rsidR="00A119AD" w:rsidRPr="00A119AD">
        <w:rPr>
          <w:rFonts w:ascii="Arial" w:hAnsi="Arial" w:cs="Arial"/>
        </w:rPr>
        <w:t xml:space="preserve"> – wysokość budynku</w:t>
      </w:r>
    </w:p>
    <w:p w14:paraId="622EC561" w14:textId="2F647AEF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C</m:t>
              </m:r>
            </m:e>
            <m:sub>
              <m:r>
                <w:rPr>
                  <w:rFonts w:ascii="Cambria Math" w:hAnsi="Cambria Math" w:cs="Arial"/>
                </w:rPr>
                <m:t>e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 w:cs="Arial"/>
            </w:rPr>
            <m:t>=1,9∙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16,00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10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0,26</m:t>
              </m:r>
            </m:sup>
          </m:sSup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>2,15</m:t>
          </m:r>
        </m:oMath>
      </m:oMathPara>
    </w:p>
    <w:p w14:paraId="3756FF8B" w14:textId="075B3696" w:rsidR="00A119AD" w:rsidRPr="00A119AD" w:rsidRDefault="00000000" w:rsidP="00A119AD">
      <w:pPr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w:rPr>
                  <w:rFonts w:ascii="Cambria Math" w:hAnsi="Cambria Math" w:cs="Arial"/>
                </w:rPr>
                <m:t>q</m:t>
              </m:r>
            </m:e>
            <m:sub>
              <m:r>
                <w:rPr>
                  <w:rFonts w:ascii="Cambria Math" w:hAnsi="Cambria Math" w:cs="Arial"/>
                </w:rPr>
                <m:t>p</m:t>
              </m:r>
            </m:sub>
          </m:sSub>
          <m:d>
            <m:dPr>
              <m:ctrlPr>
                <w:rPr>
                  <w:rFonts w:ascii="Cambria Math" w:hAnsi="Cambria Math" w:cs="Arial"/>
                </w:rPr>
              </m:ctrlPr>
            </m:dPr>
            <m:e>
              <m:r>
                <w:rPr>
                  <w:rFonts w:ascii="Cambria Math" w:hAnsi="Cambria Math" w:cs="Arial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>2,15</m:t>
          </m:r>
          <m:r>
            <m:rPr>
              <m:sty m:val="p"/>
            </m:rPr>
            <w:rPr>
              <w:rFonts w:ascii="Cambria Math" w:hAnsi="Cambria Math" w:cs="Arial"/>
            </w:rPr>
            <m:t>∙0,303=0,</m:t>
          </m:r>
          <m:r>
            <m:rPr>
              <m:sty m:val="p"/>
            </m:rPr>
            <w:rPr>
              <w:rFonts w:ascii="Cambria Math" w:hAnsi="Cambria Math" w:cs="Arial"/>
            </w:rPr>
            <m:t>65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r>
            <w:rPr>
              <w:rFonts w:ascii="Cambria Math" w:hAnsi="Cambria Math" w:cs="Arial"/>
            </w:rPr>
            <m:t>kN</m:t>
          </m:r>
          <m:r>
            <m:rPr>
              <m:sty m:val="p"/>
            </m:rPr>
            <w:rPr>
              <w:rFonts w:ascii="Cambria Math" w:hAnsi="Cambria Math" w:cs="Arial"/>
            </w:rPr>
            <m:t>/</m:t>
          </m:r>
          <m:sSup>
            <m:sSupPr>
              <m:ctrlPr>
                <w:rPr>
                  <w:rFonts w:ascii="Cambria Math" w:hAnsi="Cambria Math" w:cs="Arial"/>
                </w:rPr>
              </m:ctrlPr>
            </m:sSupPr>
            <m:e>
              <m:r>
                <w:rPr>
                  <w:rFonts w:ascii="Cambria Math" w:hAnsi="Cambria Math" w:cs="Arial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</w:rPr>
                <m:t>2</m:t>
              </m:r>
            </m:sup>
          </m:sSup>
        </m:oMath>
      </m:oMathPara>
    </w:p>
    <w:p w14:paraId="1F964127" w14:textId="77777777" w:rsidR="00A119AD" w:rsidRPr="00A119AD" w:rsidRDefault="00A119AD" w:rsidP="00A119AD">
      <w:pPr>
        <w:rPr>
          <w:rFonts w:ascii="Arial" w:hAnsi="Arial" w:cs="Arial"/>
        </w:rPr>
      </w:pPr>
    </w:p>
    <w:p w14:paraId="624E3DD9" w14:textId="77777777" w:rsidR="00A119AD" w:rsidRPr="00A119AD" w:rsidRDefault="00A119AD" w:rsidP="00A119AD">
      <w:pPr>
        <w:pStyle w:val="Nagwek2"/>
        <w:rPr>
          <w:rFonts w:ascii="Arial" w:hAnsi="Arial" w:cs="Arial"/>
        </w:rPr>
      </w:pPr>
      <w:bookmarkStart w:id="6" w:name="_Toc157639096"/>
      <w:r w:rsidRPr="00A119AD">
        <w:rPr>
          <w:rFonts w:ascii="Arial" w:hAnsi="Arial" w:cs="Arial"/>
        </w:rPr>
        <w:t>2.3. KOMBINACJE ODDZIAŁYWAŃ</w:t>
      </w:r>
      <w:bookmarkEnd w:id="6"/>
    </w:p>
    <w:p w14:paraId="6EA78F03" w14:textId="77777777" w:rsidR="00A119AD" w:rsidRPr="00A119AD" w:rsidRDefault="00A119AD" w:rsidP="00A119AD">
      <w:pPr>
        <w:contextualSpacing/>
        <w:rPr>
          <w:rFonts w:ascii="Arial" w:hAnsi="Arial" w:cs="Arial"/>
          <w:u w:val="single"/>
        </w:rPr>
      </w:pPr>
      <w:r w:rsidRPr="00A119AD">
        <w:rPr>
          <w:rFonts w:ascii="Arial" w:hAnsi="Arial" w:cs="Arial"/>
          <w:u w:val="single"/>
        </w:rPr>
        <w:t>Współczynniki:</w:t>
      </w:r>
    </w:p>
    <w:p w14:paraId="2D26567C" w14:textId="77777777" w:rsidR="00A119AD" w:rsidRPr="00A119AD" w:rsidRDefault="00A119AD" w:rsidP="00A119AD">
      <w:pPr>
        <w:spacing w:line="480" w:lineRule="auto"/>
        <w:rPr>
          <w:rFonts w:ascii="Arial" w:hAnsi="Arial" w:cs="Arial"/>
        </w:rPr>
      </w:pPr>
      <w:proofErr w:type="spellStart"/>
      <w:r w:rsidRPr="00A119AD">
        <w:rPr>
          <w:rFonts w:ascii="Arial" w:hAnsi="Arial" w:cs="Arial"/>
          <w:b/>
        </w:rPr>
        <w:t>γ</w:t>
      </w:r>
      <w:r w:rsidRPr="00A119AD">
        <w:rPr>
          <w:rFonts w:ascii="Arial" w:hAnsi="Arial" w:cs="Arial"/>
          <w:b/>
          <w:vertAlign w:val="subscript"/>
        </w:rPr>
        <w:t>G</w:t>
      </w:r>
      <w:proofErr w:type="spellEnd"/>
      <w:r w:rsidRPr="00A119AD">
        <w:rPr>
          <w:rFonts w:ascii="Arial" w:hAnsi="Arial" w:cs="Arial"/>
          <w:vertAlign w:val="subscript"/>
        </w:rPr>
        <w:t xml:space="preserve"> </w:t>
      </w:r>
      <w:r w:rsidRPr="00A119AD">
        <w:rPr>
          <w:rFonts w:ascii="Arial" w:hAnsi="Arial" w:cs="Arial"/>
        </w:rPr>
        <w:t>= 1,35 – współczynnik dla obciążeń stałych</w:t>
      </w:r>
    </w:p>
    <w:p w14:paraId="32D09835" w14:textId="77777777" w:rsidR="00A119AD" w:rsidRPr="00A119AD" w:rsidRDefault="00A119AD" w:rsidP="00A119AD">
      <w:pPr>
        <w:spacing w:line="480" w:lineRule="auto"/>
        <w:rPr>
          <w:rFonts w:ascii="Arial" w:hAnsi="Arial" w:cs="Arial"/>
        </w:rPr>
      </w:pPr>
      <w:proofErr w:type="spellStart"/>
      <w:r w:rsidRPr="00A119AD">
        <w:rPr>
          <w:rFonts w:ascii="Arial" w:hAnsi="Arial" w:cs="Arial"/>
          <w:b/>
        </w:rPr>
        <w:t>γ</w:t>
      </w:r>
      <w:r w:rsidRPr="00A119AD">
        <w:rPr>
          <w:rFonts w:ascii="Arial" w:hAnsi="Arial" w:cs="Arial"/>
          <w:b/>
          <w:vertAlign w:val="subscript"/>
        </w:rPr>
        <w:t>Q</w:t>
      </w:r>
      <w:proofErr w:type="spellEnd"/>
      <w:r w:rsidRPr="00A119AD">
        <w:rPr>
          <w:rFonts w:ascii="Arial" w:hAnsi="Arial" w:cs="Arial"/>
          <w:vertAlign w:val="subscript"/>
        </w:rPr>
        <w:t xml:space="preserve"> </w:t>
      </w:r>
      <w:r w:rsidRPr="00A119AD">
        <w:rPr>
          <w:rFonts w:ascii="Arial" w:hAnsi="Arial" w:cs="Arial"/>
        </w:rPr>
        <w:t>= 1,5 – współczynnik dla obciążeń zmiennych</w:t>
      </w:r>
    </w:p>
    <w:p w14:paraId="53C2B848" w14:textId="00467B4F" w:rsidR="00A119AD" w:rsidRPr="00A119AD" w:rsidRDefault="00A119AD" w:rsidP="00C800BF">
      <w:pPr>
        <w:spacing w:line="480" w:lineRule="auto"/>
        <w:rPr>
          <w:rFonts w:ascii="Arial" w:hAnsi="Arial" w:cs="Arial"/>
        </w:rPr>
      </w:pPr>
      <w:proofErr w:type="spellStart"/>
      <w:r w:rsidRPr="00A119AD">
        <w:rPr>
          <w:rFonts w:ascii="Arial" w:hAnsi="Arial" w:cs="Arial"/>
          <w:b/>
        </w:rPr>
        <w:t>ξ</w:t>
      </w:r>
      <w:r w:rsidRPr="00A119AD">
        <w:rPr>
          <w:rFonts w:ascii="Arial" w:hAnsi="Arial" w:cs="Arial"/>
          <w:b/>
          <w:vertAlign w:val="subscript"/>
        </w:rPr>
        <w:t>G</w:t>
      </w:r>
      <w:proofErr w:type="spellEnd"/>
      <w:r w:rsidRPr="00A119AD">
        <w:rPr>
          <w:rFonts w:ascii="Arial" w:hAnsi="Arial" w:cs="Arial"/>
          <w:vertAlign w:val="subscript"/>
        </w:rPr>
        <w:t xml:space="preserve"> </w:t>
      </w:r>
      <w:r w:rsidRPr="00A119AD">
        <w:rPr>
          <w:rFonts w:ascii="Arial" w:hAnsi="Arial" w:cs="Arial"/>
        </w:rPr>
        <w:t>= 0,85 – współczynnik redukcyjny dla obciążeń stałyc</w:t>
      </w:r>
      <w:r w:rsidR="00C800BF">
        <w:rPr>
          <w:rFonts w:ascii="Arial" w:hAnsi="Arial" w:cs="Arial"/>
        </w:rPr>
        <w:t>h</w:t>
      </w:r>
    </w:p>
    <w:p w14:paraId="70247C11" w14:textId="77777777" w:rsidR="00A119AD" w:rsidRPr="00A119AD" w:rsidRDefault="00A119AD" w:rsidP="00A119AD">
      <w:pPr>
        <w:tabs>
          <w:tab w:val="left" w:pos="2464"/>
        </w:tabs>
        <w:spacing w:before="120" w:after="120"/>
        <w:rPr>
          <w:rFonts w:ascii="Arial" w:hAnsi="Arial" w:cs="Arial"/>
        </w:rPr>
      </w:pPr>
      <w:r w:rsidRPr="00A119AD">
        <w:rPr>
          <w:rFonts w:ascii="Arial" w:hAnsi="Arial" w:cs="Arial"/>
        </w:rPr>
        <w:t>Kategoria A - zalecane wartości współczynników ψ dla oddziaływań użytkowych:</w:t>
      </w:r>
    </w:p>
    <w:p w14:paraId="42B8972E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Ψ0,b = 0,7 – współczynnik dla obciążeń użytkowych dla kombinacji SGN</w:t>
      </w:r>
    </w:p>
    <w:p w14:paraId="3E8C950E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Ψ1,b = 0,5 – współczynnik dla obciążeń użytkowych, wartość dla sytuacji częstej</w:t>
      </w:r>
    </w:p>
    <w:p w14:paraId="323F0FA8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Ψ2,b = 0,3 – współczynnik dla obciążeń użytkowych w sytuacji quasi-stałej</w:t>
      </w:r>
    </w:p>
    <w:p w14:paraId="38486424" w14:textId="77777777" w:rsidR="00A119AD" w:rsidRPr="00A119AD" w:rsidRDefault="00A119AD" w:rsidP="00A119AD">
      <w:pPr>
        <w:rPr>
          <w:rFonts w:ascii="Arial" w:hAnsi="Arial" w:cs="Arial"/>
          <w:b/>
        </w:rPr>
      </w:pPr>
    </w:p>
    <w:p w14:paraId="4C369730" w14:textId="77777777" w:rsidR="00A119AD" w:rsidRPr="00A119AD" w:rsidRDefault="00000000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 w:cs="Arial"/>
                  <w:sz w:val="22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0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≥1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p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0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,1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ψ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,1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&gt;1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ψ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0,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 xml:space="preserve">               (6.10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14:paraId="6552EBAB" w14:textId="77777777" w:rsidR="00A119AD" w:rsidRPr="00A119AD" w:rsidRDefault="00000000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m:oMathPara>
        <m:oMath>
          <m:nary>
            <m:naryPr>
              <m:chr m:val="∑"/>
              <m:limLoc m:val="undOvr"/>
              <m:supHide m:val="1"/>
              <m:ctrlPr>
                <w:rPr>
                  <w:rFonts w:ascii="Cambria Math" w:hAnsi="Cambria Math" w:cs="Arial"/>
                  <w:sz w:val="22"/>
                  <w:szCs w:val="20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0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≥1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j</m:t>
                      </m:r>
                    </m:sub>
                  </m:s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j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G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p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0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γ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,1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Q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,1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0"/>
                </w:rPr>
                <m:t>"+"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 w:cs="Arial"/>
                      <w:sz w:val="22"/>
                      <w:szCs w:val="20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&gt;1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ψ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0,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k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,</m:t>
                      </m:r>
                      <m:r>
                        <w:rPr>
                          <w:rFonts w:ascii="Cambria Math" w:hAnsi="Cambria Math" w:cs="Arial"/>
                          <w:sz w:val="22"/>
                          <w:szCs w:val="20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 xml:space="preserve">                   (6.10</m:t>
                  </m:r>
                  <m:r>
                    <w:rPr>
                      <w:rFonts w:ascii="Cambria Math" w:hAnsi="Cambria Math" w:cs="Arial"/>
                      <w:sz w:val="22"/>
                      <w:szCs w:val="20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0"/>
                    </w:rPr>
                    <m:t>)</m:t>
                  </m:r>
                </m:e>
              </m:nary>
            </m:e>
          </m:nary>
        </m:oMath>
      </m:oMathPara>
    </w:p>
    <w:p w14:paraId="3927FA27" w14:textId="77777777" w:rsidR="00A119AD" w:rsidRPr="00A119AD" w:rsidRDefault="00A119AD" w:rsidP="00A119AD">
      <w:pPr>
        <w:rPr>
          <w:rFonts w:ascii="Arial" w:hAnsi="Arial" w:cs="Arial"/>
          <w:noProof/>
        </w:rPr>
      </w:pPr>
    </w:p>
    <w:p w14:paraId="4DB48DBF" w14:textId="77777777" w:rsidR="00A119AD" w:rsidRPr="00A119AD" w:rsidRDefault="00A119AD" w:rsidP="00A119AD">
      <w:pPr>
        <w:tabs>
          <w:tab w:val="left" w:pos="2464"/>
        </w:tabs>
        <w:rPr>
          <w:rFonts w:ascii="Arial" w:hAnsi="Arial" w:cs="Arial"/>
        </w:rPr>
      </w:pPr>
      <w:r w:rsidRPr="00A119AD">
        <w:rPr>
          <w:rFonts w:ascii="Arial" w:hAnsi="Arial" w:cs="Arial"/>
        </w:rPr>
        <w:t>Kategoria H - zalecane wartości współczynników ψ dla oddziaływań użytkowych:</w:t>
      </w:r>
    </w:p>
    <w:p w14:paraId="22AEC197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Ψ0,b = 0,0 – współczynnik dla obciążeń użytkowych dla kombinacji SGN</w:t>
      </w:r>
    </w:p>
    <w:p w14:paraId="2545723B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Ψ1,b = 0,0 – współczynnik dla obciążeń użytkowych, wartość dla sytuacji częstej</w:t>
      </w:r>
    </w:p>
    <w:p w14:paraId="743C19FF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Ψ2,b = 0,0 – współczynnik dla obciążeń użytkowych w sytuacji quasi-stałej</w:t>
      </w:r>
    </w:p>
    <w:p w14:paraId="40BE404D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5DB59CC4" w14:textId="77777777" w:rsidR="00A119AD" w:rsidRPr="00A119AD" w:rsidRDefault="00A119AD" w:rsidP="00A119AD">
      <w:pPr>
        <w:tabs>
          <w:tab w:val="left" w:pos="2464"/>
        </w:tabs>
        <w:spacing w:before="120" w:after="120"/>
        <w:rPr>
          <w:rFonts w:ascii="Arial" w:hAnsi="Arial" w:cs="Arial"/>
        </w:rPr>
      </w:pPr>
      <w:r w:rsidRPr="00A119AD">
        <w:rPr>
          <w:rFonts w:ascii="Arial" w:hAnsi="Arial" w:cs="Arial"/>
        </w:rPr>
        <w:t>Obciążenie śniegiem &lt; 1000 m. n.p.m. - zalecane wartości współczynników ψ dla oddziaływań zmiennych:</w:t>
      </w:r>
    </w:p>
    <w:p w14:paraId="1B4C0065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Ψ0,b = 0,5 – współczynnik dla obciążeń użytkowych dla kombinacji SGN</w:t>
      </w:r>
    </w:p>
    <w:p w14:paraId="4DB7D977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Ψ1,b = 0,2 – współczynnik dla obciążeń użytkowych, wartość dla sytuacji częstej</w:t>
      </w:r>
    </w:p>
    <w:p w14:paraId="211E7B9B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Ψ2,b = 0,0 – współczynnik dla obciążeń użytkowych w sytuacji quasi-stałej</w:t>
      </w:r>
    </w:p>
    <w:p w14:paraId="2978A6D4" w14:textId="77777777" w:rsidR="00A119AD" w:rsidRPr="00A119AD" w:rsidRDefault="00A119AD" w:rsidP="00A119AD">
      <w:pPr>
        <w:tabs>
          <w:tab w:val="left" w:pos="2464"/>
        </w:tabs>
        <w:spacing w:before="120" w:after="120"/>
        <w:rPr>
          <w:rFonts w:ascii="Arial" w:hAnsi="Arial" w:cs="Arial"/>
        </w:rPr>
      </w:pPr>
      <w:r w:rsidRPr="00A119AD">
        <w:rPr>
          <w:rFonts w:ascii="Arial" w:hAnsi="Arial" w:cs="Arial"/>
        </w:rPr>
        <w:t>Kategoria wiatrem - zalecane wartości współczynników ψ dla oddziaływań zmiennych:</w:t>
      </w:r>
    </w:p>
    <w:p w14:paraId="14A4CB5D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Ψ0, b = 0,6 – współczynnik dla obciążeń użytkowych dla kombinacji SGN</w:t>
      </w:r>
    </w:p>
    <w:p w14:paraId="111A790B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Ψ1, b = 0,2 – współczynnik dla obciążeń użytkowych, wartość dla sytuacji częstej</w:t>
      </w:r>
    </w:p>
    <w:p w14:paraId="3FA24EB2" w14:textId="77777777" w:rsid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  <w:r w:rsidRPr="00A119AD">
        <w:rPr>
          <w:rFonts w:ascii="Arial" w:hAnsi="Arial" w:cs="Arial"/>
          <w:sz w:val="22"/>
          <w:szCs w:val="20"/>
        </w:rPr>
        <w:t>Ψ2, b = 0,0 – współczynnik dla obciążeń użytkowych w sytuacji quasi-stałej</w:t>
      </w:r>
    </w:p>
    <w:p w14:paraId="1A47FBFD" w14:textId="77777777" w:rsidR="00EC281C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2B81DBE2" w14:textId="77777777" w:rsidR="00EC281C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52FAEB22" w14:textId="77777777" w:rsidR="00EC281C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56BBAE53" w14:textId="77777777" w:rsidR="00EC281C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3051B634" w14:textId="77777777" w:rsidR="00EC281C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0E0AE2AE" w14:textId="77777777" w:rsidR="00EC281C" w:rsidRPr="00A119AD" w:rsidRDefault="00EC281C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50B1E93D" w14:textId="77777777" w:rsidR="00A119AD" w:rsidRPr="00A119AD" w:rsidRDefault="00A119AD" w:rsidP="00A119AD">
      <w:pPr>
        <w:pStyle w:val="Akapitzlist"/>
        <w:ind w:left="0"/>
        <w:rPr>
          <w:rFonts w:ascii="Arial" w:hAnsi="Arial" w:cs="Arial"/>
          <w:sz w:val="22"/>
          <w:szCs w:val="20"/>
        </w:rPr>
      </w:pPr>
    </w:p>
    <w:p w14:paraId="544DBC8C" w14:textId="77777777" w:rsidR="00A119AD" w:rsidRPr="00A119AD" w:rsidRDefault="00A119AD" w:rsidP="00A119AD">
      <w:pPr>
        <w:pStyle w:val="Nagwek2"/>
        <w:rPr>
          <w:rFonts w:ascii="Arial" w:hAnsi="Arial" w:cs="Arial"/>
        </w:rPr>
      </w:pPr>
      <w:bookmarkStart w:id="7" w:name="_Toc157639097"/>
      <w:r w:rsidRPr="00A119AD">
        <w:rPr>
          <w:rFonts w:ascii="Arial" w:hAnsi="Arial" w:cs="Arial"/>
        </w:rPr>
        <w:lastRenderedPageBreak/>
        <w:t>2.4. ANALIZA STATYCZNA</w:t>
      </w:r>
      <w:bookmarkEnd w:id="7"/>
    </w:p>
    <w:p w14:paraId="45473C92" w14:textId="3FDB77BF" w:rsidR="00A119AD" w:rsidRDefault="00A119AD" w:rsidP="00A119AD">
      <w:pPr>
        <w:rPr>
          <w:rFonts w:ascii="Arial" w:hAnsi="Arial" w:cs="Arial"/>
        </w:rPr>
      </w:pPr>
      <w:r w:rsidRPr="00A119AD">
        <w:rPr>
          <w:rFonts w:ascii="Arial" w:hAnsi="Arial" w:cs="Arial"/>
        </w:rPr>
        <w:t xml:space="preserve">Dla przyjętych oddziaływań przeprowadzono kombinacje dla Stanu Granicznego Użytkowania i Stanu Granicznego Nośności. Dla modelu konstrukcji </w:t>
      </w:r>
      <w:r w:rsidRPr="00A119AD">
        <w:rPr>
          <w:rFonts w:ascii="Arial" w:hAnsi="Arial" w:cs="Arial"/>
        </w:rPr>
        <w:br/>
        <w:t>i przyjętych kombinacji oddziaływań przeprowadzono analizę statyczną części projektowanej budynków</w:t>
      </w:r>
      <w:r w:rsidR="00024868">
        <w:rPr>
          <w:rFonts w:ascii="Arial" w:hAnsi="Arial" w:cs="Arial"/>
        </w:rPr>
        <w:t>.</w:t>
      </w:r>
    </w:p>
    <w:p w14:paraId="738C30FB" w14:textId="77777777" w:rsidR="00A119AD" w:rsidRDefault="00A119AD" w:rsidP="00A119AD">
      <w:pPr>
        <w:rPr>
          <w:rFonts w:ascii="Arial" w:hAnsi="Arial" w:cs="Arial"/>
        </w:rPr>
      </w:pPr>
    </w:p>
    <w:p w14:paraId="0970B394" w14:textId="77777777" w:rsidR="00A119AD" w:rsidRPr="00A119AD" w:rsidRDefault="00A119AD" w:rsidP="00A119AD">
      <w:pPr>
        <w:rPr>
          <w:rFonts w:ascii="Arial" w:hAnsi="Arial" w:cs="Arial"/>
        </w:rPr>
      </w:pPr>
    </w:p>
    <w:p w14:paraId="758267C2" w14:textId="039D6977" w:rsidR="00A774FB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drawing>
          <wp:inline distT="0" distB="0" distL="0" distR="0" wp14:anchorId="48E3A7DD" wp14:editId="4B495A03">
            <wp:extent cx="5034280" cy="3462351"/>
            <wp:effectExtent l="0" t="0" r="0" b="5080"/>
            <wp:docPr id="66137645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3764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1808" cy="346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3ACD8" w14:textId="0CFE1B2E" w:rsidR="00C800BF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drawing>
          <wp:inline distT="0" distB="0" distL="0" distR="0" wp14:anchorId="0B6567CA" wp14:editId="4C4B6D13">
            <wp:extent cx="5038725" cy="3619500"/>
            <wp:effectExtent l="0" t="0" r="9525" b="0"/>
            <wp:docPr id="296942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423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5025" w14:textId="2274025D" w:rsidR="00C800BF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578B6CC5" wp14:editId="6F5811CD">
            <wp:extent cx="5040527" cy="3390900"/>
            <wp:effectExtent l="0" t="0" r="8255" b="0"/>
            <wp:docPr id="8619881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8815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7052" cy="339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B7851" w14:textId="1B6CB8FB" w:rsidR="00531066" w:rsidRDefault="00531066" w:rsidP="0053106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Widok modelu </w:t>
      </w:r>
      <w:r w:rsidR="00C800BF">
        <w:rPr>
          <w:rFonts w:ascii="Arial" w:hAnsi="Arial" w:cs="Arial"/>
          <w:b/>
          <w:bCs/>
        </w:rPr>
        <w:t>lukarn</w:t>
      </w:r>
    </w:p>
    <w:p w14:paraId="096133C0" w14:textId="77777777" w:rsidR="00531066" w:rsidRDefault="00531066" w:rsidP="00531066">
      <w:pPr>
        <w:rPr>
          <w:rFonts w:ascii="Arial" w:hAnsi="Arial" w:cs="Arial"/>
          <w:b/>
          <w:bCs/>
        </w:rPr>
      </w:pPr>
    </w:p>
    <w:p w14:paraId="47476BCD" w14:textId="20AFD8B7" w:rsidR="00531066" w:rsidRDefault="00531066" w:rsidP="00531066">
      <w:pPr>
        <w:rPr>
          <w:rFonts w:ascii="Arial" w:hAnsi="Arial" w:cs="Arial"/>
          <w:b/>
          <w:bCs/>
        </w:rPr>
      </w:pPr>
    </w:p>
    <w:p w14:paraId="7409E158" w14:textId="1519A60C" w:rsidR="00531066" w:rsidRDefault="00531066" w:rsidP="00531066">
      <w:pPr>
        <w:rPr>
          <w:rFonts w:ascii="Arial" w:hAnsi="Arial" w:cs="Arial"/>
          <w:b/>
          <w:bCs/>
        </w:rPr>
      </w:pPr>
    </w:p>
    <w:p w14:paraId="717C8BAE" w14:textId="77777777" w:rsidR="00531066" w:rsidRPr="00A119AD" w:rsidRDefault="00531066" w:rsidP="00531066">
      <w:pPr>
        <w:rPr>
          <w:rFonts w:ascii="Arial" w:hAnsi="Arial" w:cs="Arial"/>
          <w:b/>
          <w:bCs/>
        </w:rPr>
      </w:pPr>
    </w:p>
    <w:p w14:paraId="383A9AED" w14:textId="77777777" w:rsidR="00D95F85" w:rsidRPr="00A119AD" w:rsidRDefault="00D95F85" w:rsidP="00A774FB">
      <w:pPr>
        <w:jc w:val="center"/>
        <w:rPr>
          <w:rFonts w:ascii="Arial" w:hAnsi="Arial" w:cs="Arial"/>
          <w:b/>
          <w:bCs/>
        </w:rPr>
      </w:pPr>
    </w:p>
    <w:p w14:paraId="797C1966" w14:textId="77777777" w:rsidR="00D95F85" w:rsidRPr="00A119AD" w:rsidRDefault="00D95F85" w:rsidP="00A774FB">
      <w:pPr>
        <w:jc w:val="center"/>
        <w:rPr>
          <w:rFonts w:ascii="Arial" w:hAnsi="Arial" w:cs="Arial"/>
          <w:b/>
          <w:bCs/>
        </w:rPr>
      </w:pPr>
    </w:p>
    <w:p w14:paraId="4ECA3F24" w14:textId="77777777" w:rsidR="00D95F85" w:rsidRPr="00A119AD" w:rsidRDefault="00D95F85" w:rsidP="00A774FB">
      <w:pPr>
        <w:jc w:val="center"/>
        <w:rPr>
          <w:rFonts w:ascii="Arial" w:hAnsi="Arial" w:cs="Arial"/>
          <w:b/>
          <w:bCs/>
        </w:rPr>
      </w:pPr>
    </w:p>
    <w:p w14:paraId="53AF2D6A" w14:textId="77777777" w:rsidR="00D95F85" w:rsidRPr="00A119AD" w:rsidRDefault="00D95F85" w:rsidP="00A774FB">
      <w:pPr>
        <w:jc w:val="center"/>
        <w:rPr>
          <w:rFonts w:ascii="Arial" w:hAnsi="Arial" w:cs="Arial"/>
          <w:b/>
          <w:bCs/>
        </w:rPr>
      </w:pPr>
    </w:p>
    <w:p w14:paraId="54D9A1A2" w14:textId="1403CB5E" w:rsidR="00D95F85" w:rsidRPr="00A119AD" w:rsidRDefault="00D95F85" w:rsidP="00A774FB">
      <w:pPr>
        <w:jc w:val="center"/>
        <w:rPr>
          <w:rFonts w:ascii="Arial" w:hAnsi="Arial" w:cs="Arial"/>
          <w:b/>
          <w:bCs/>
        </w:rPr>
      </w:pPr>
    </w:p>
    <w:p w14:paraId="66827C3D" w14:textId="02CF3939" w:rsidR="00ED734C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62D2E638" wp14:editId="73062863">
            <wp:extent cx="5760720" cy="8147685"/>
            <wp:effectExtent l="0" t="0" r="0" b="5715"/>
            <wp:docPr id="17475060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50601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6692E" w14:textId="0A537D2B" w:rsidR="00EC281C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3FF58674" wp14:editId="767E52BA">
            <wp:extent cx="5760720" cy="782955"/>
            <wp:effectExtent l="0" t="0" r="0" b="0"/>
            <wp:docPr id="20189934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9934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00E22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44EA9C10" w14:textId="0CA49AB3" w:rsidR="00C800BF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</w:t>
      </w:r>
    </w:p>
    <w:p w14:paraId="2E65E903" w14:textId="1F23BB70" w:rsidR="00C800BF" w:rsidRDefault="00C800BF" w:rsidP="00A774F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Wymiary i długości poszczególnych elementów należy domierzyć na miejscu po demontażu poszycia dachowego. Wymiary zawarte w tabelach powyżej są z rezerwą w celu zapewnienia możliwości skrócenia na placu budowy i dostosowania do układu na obiekcie.</w:t>
      </w:r>
    </w:p>
    <w:p w14:paraId="1129D536" w14:textId="77777777" w:rsidR="00ED734C" w:rsidRDefault="00ED734C" w:rsidP="00A774FB">
      <w:pPr>
        <w:jc w:val="center"/>
        <w:rPr>
          <w:rFonts w:ascii="Arial" w:hAnsi="Arial" w:cs="Arial"/>
          <w:b/>
          <w:bCs/>
        </w:rPr>
      </w:pPr>
    </w:p>
    <w:p w14:paraId="4F71BF89" w14:textId="77777777" w:rsidR="00ED734C" w:rsidRDefault="00ED734C" w:rsidP="00A774FB">
      <w:pPr>
        <w:jc w:val="center"/>
        <w:rPr>
          <w:rFonts w:ascii="Arial" w:hAnsi="Arial" w:cs="Arial"/>
          <w:b/>
          <w:bCs/>
        </w:rPr>
      </w:pPr>
    </w:p>
    <w:p w14:paraId="31CBF3B6" w14:textId="0F34156D" w:rsidR="00C800BF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drawing>
          <wp:inline distT="0" distB="0" distL="0" distR="0" wp14:anchorId="5C26AC8B" wp14:editId="2CCEF7BD">
            <wp:extent cx="5760720" cy="3845560"/>
            <wp:effectExtent l="0" t="0" r="0" b="2540"/>
            <wp:docPr id="10536532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65327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3D23A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3E38F51A" w14:textId="68AD08B8" w:rsidR="00EC281C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51345847" wp14:editId="783DCD41">
            <wp:extent cx="5760720" cy="3504565"/>
            <wp:effectExtent l="0" t="0" r="0" b="635"/>
            <wp:docPr id="1340699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6994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0CF1F" w14:textId="07575BF0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47AE72D1" w14:textId="2FF4A232" w:rsidR="00ED734C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drawing>
          <wp:inline distT="0" distB="0" distL="0" distR="0" wp14:anchorId="56FF1647" wp14:editId="66353077">
            <wp:extent cx="5760720" cy="4693920"/>
            <wp:effectExtent l="0" t="0" r="0" b="0"/>
            <wp:docPr id="17214837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48379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F320E" w14:textId="7F88FA82" w:rsidR="00EC281C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44FF3AC6" wp14:editId="361B744A">
            <wp:extent cx="5760720" cy="3439160"/>
            <wp:effectExtent l="0" t="0" r="0" b="8890"/>
            <wp:docPr id="19756661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66610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776B6" w14:textId="02594FD4" w:rsidR="00EC281C" w:rsidRDefault="00EC281C" w:rsidP="00A774FB">
      <w:pPr>
        <w:jc w:val="center"/>
        <w:rPr>
          <w:rFonts w:ascii="Arial" w:hAnsi="Arial" w:cs="Arial"/>
          <w:b/>
          <w:bCs/>
        </w:rPr>
      </w:pPr>
      <w:r>
        <w:rPr>
          <w:noProof/>
          <w14:ligatures w14:val="standardContextual"/>
        </w:rPr>
        <w:drawing>
          <wp:inline distT="0" distB="0" distL="0" distR="0" wp14:anchorId="3758275F" wp14:editId="164EBD48">
            <wp:extent cx="5760720" cy="3025775"/>
            <wp:effectExtent l="0" t="0" r="0" b="3175"/>
            <wp:docPr id="12599661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6614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00CEB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27634144" w14:textId="77777777" w:rsidR="00ED734C" w:rsidRDefault="00ED734C" w:rsidP="00A774FB">
      <w:pPr>
        <w:jc w:val="center"/>
        <w:rPr>
          <w:rFonts w:ascii="Arial" w:hAnsi="Arial" w:cs="Arial"/>
          <w:b/>
          <w:bCs/>
        </w:rPr>
      </w:pPr>
    </w:p>
    <w:p w14:paraId="6DA894E9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0FD27089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3E085F3B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6E44AF7A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7431B6B8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32AB7D15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742FD25C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24376845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4F58B83E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50AAC5B2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p w14:paraId="3E049D95" w14:textId="77777777" w:rsidR="00EC281C" w:rsidRDefault="00EC281C" w:rsidP="00A774FB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770"/>
      </w:tblGrid>
      <w:tr w:rsidR="00ED734C" w14:paraId="7EAD90A2" w14:textId="77777777" w:rsidTr="00ED734C">
        <w:tc>
          <w:tcPr>
            <w:tcW w:w="1271" w:type="dxa"/>
          </w:tcPr>
          <w:p w14:paraId="2EF352CE" w14:textId="77777777" w:rsidR="00ED734C" w:rsidRPr="00D76705" w:rsidRDefault="00ED734C" w:rsidP="0066448D">
            <w:pPr>
              <w:rPr>
                <w:b/>
              </w:rPr>
            </w:pPr>
            <w:r w:rsidRPr="00D76705">
              <w:rPr>
                <w:b/>
              </w:rPr>
              <w:lastRenderedPageBreak/>
              <w:t>NR</w:t>
            </w:r>
          </w:p>
        </w:tc>
        <w:tc>
          <w:tcPr>
            <w:tcW w:w="4770" w:type="dxa"/>
          </w:tcPr>
          <w:p w14:paraId="47BC7197" w14:textId="77777777" w:rsidR="00ED734C" w:rsidRPr="00D76705" w:rsidRDefault="00ED734C" w:rsidP="0066448D">
            <w:pPr>
              <w:rPr>
                <w:b/>
              </w:rPr>
            </w:pPr>
            <w:r w:rsidRPr="00D76705">
              <w:rPr>
                <w:b/>
              </w:rPr>
              <w:t>TYTUŁ RYSUNKU</w:t>
            </w:r>
          </w:p>
        </w:tc>
      </w:tr>
      <w:tr w:rsidR="00ED734C" w14:paraId="78CE37EC" w14:textId="77777777" w:rsidTr="00ED734C">
        <w:tc>
          <w:tcPr>
            <w:tcW w:w="1271" w:type="dxa"/>
          </w:tcPr>
          <w:p w14:paraId="639282BF" w14:textId="21E3FFF5" w:rsidR="00ED734C" w:rsidRDefault="00ED734C" w:rsidP="0066448D">
            <w:r>
              <w:t>K-01.1</w:t>
            </w:r>
          </w:p>
        </w:tc>
        <w:tc>
          <w:tcPr>
            <w:tcW w:w="4770" w:type="dxa"/>
          </w:tcPr>
          <w:p w14:paraId="06AEC8CF" w14:textId="5FB066D5" w:rsidR="00ED734C" w:rsidRDefault="009C35FD" w:rsidP="0066448D">
            <w:r>
              <w:t>Konstrukcja Lukarn</w:t>
            </w:r>
          </w:p>
        </w:tc>
      </w:tr>
    </w:tbl>
    <w:p w14:paraId="5057C9B0" w14:textId="77777777" w:rsidR="00A774FB" w:rsidRPr="00A119AD" w:rsidRDefault="00A774FB" w:rsidP="00EC281C">
      <w:pPr>
        <w:rPr>
          <w:rFonts w:ascii="Arial" w:hAnsi="Arial" w:cs="Arial"/>
          <w:b/>
          <w:bCs/>
        </w:rPr>
      </w:pPr>
    </w:p>
    <w:sectPr w:rsidR="00A774FB" w:rsidRPr="00A11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charset w:val="EE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2970"/>
        </w:tabs>
        <w:ind w:left="297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3114"/>
        </w:tabs>
        <w:ind w:left="311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3258"/>
        </w:tabs>
        <w:ind w:left="3258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3402"/>
        </w:tabs>
        <w:ind w:left="340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546"/>
        </w:tabs>
        <w:ind w:left="354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90"/>
        </w:tabs>
        <w:ind w:left="369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834"/>
        </w:tabs>
        <w:ind w:left="383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78"/>
        </w:tabs>
        <w:ind w:left="397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122"/>
        </w:tabs>
        <w:ind w:left="4122" w:hanging="1584"/>
      </w:pPr>
    </w:lvl>
  </w:abstractNum>
  <w:abstractNum w:abstractNumId="1" w15:restartNumberingAfterBreak="0">
    <w:nsid w:val="00000004"/>
    <w:multiLevelType w:val="multilevel"/>
    <w:tmpl w:val="B9569AF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  <w:b/>
      </w:rPr>
    </w:lvl>
  </w:abstractNum>
  <w:abstractNum w:abstractNumId="2" w15:restartNumberingAfterBreak="0">
    <w:nsid w:val="03173960"/>
    <w:multiLevelType w:val="hybridMultilevel"/>
    <w:tmpl w:val="88A6E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25846"/>
    <w:multiLevelType w:val="multilevel"/>
    <w:tmpl w:val="584251C0"/>
    <w:lvl w:ilvl="0">
      <w:start w:val="16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4B4CE1"/>
    <w:multiLevelType w:val="hybridMultilevel"/>
    <w:tmpl w:val="4A0AC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410D8"/>
    <w:multiLevelType w:val="hybridMultilevel"/>
    <w:tmpl w:val="1B18D1F4"/>
    <w:lvl w:ilvl="0" w:tplc="0CE2901A">
      <w:start w:val="1"/>
      <w:numFmt w:val="decimal"/>
      <w:lvlText w:val="%1."/>
      <w:lvlJc w:val="left"/>
      <w:pPr>
        <w:ind w:left="778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502" w:hanging="360"/>
      </w:pPr>
    </w:lvl>
    <w:lvl w:ilvl="2" w:tplc="0415001B" w:tentative="1">
      <w:start w:val="1"/>
      <w:numFmt w:val="lowerRoman"/>
      <w:lvlText w:val="%3."/>
      <w:lvlJc w:val="right"/>
      <w:pPr>
        <w:ind w:left="9222" w:hanging="180"/>
      </w:pPr>
    </w:lvl>
    <w:lvl w:ilvl="3" w:tplc="0415000F" w:tentative="1">
      <w:start w:val="1"/>
      <w:numFmt w:val="decimal"/>
      <w:lvlText w:val="%4."/>
      <w:lvlJc w:val="left"/>
      <w:pPr>
        <w:ind w:left="9942" w:hanging="360"/>
      </w:pPr>
    </w:lvl>
    <w:lvl w:ilvl="4" w:tplc="04150019" w:tentative="1">
      <w:start w:val="1"/>
      <w:numFmt w:val="lowerLetter"/>
      <w:lvlText w:val="%5."/>
      <w:lvlJc w:val="left"/>
      <w:pPr>
        <w:ind w:left="10662" w:hanging="360"/>
      </w:pPr>
    </w:lvl>
    <w:lvl w:ilvl="5" w:tplc="0415001B" w:tentative="1">
      <w:start w:val="1"/>
      <w:numFmt w:val="lowerRoman"/>
      <w:lvlText w:val="%6."/>
      <w:lvlJc w:val="right"/>
      <w:pPr>
        <w:ind w:left="11382" w:hanging="180"/>
      </w:pPr>
    </w:lvl>
    <w:lvl w:ilvl="6" w:tplc="0415000F" w:tentative="1">
      <w:start w:val="1"/>
      <w:numFmt w:val="decimal"/>
      <w:lvlText w:val="%7."/>
      <w:lvlJc w:val="left"/>
      <w:pPr>
        <w:ind w:left="12102" w:hanging="360"/>
      </w:pPr>
    </w:lvl>
    <w:lvl w:ilvl="7" w:tplc="04150019" w:tentative="1">
      <w:start w:val="1"/>
      <w:numFmt w:val="lowerLetter"/>
      <w:lvlText w:val="%8."/>
      <w:lvlJc w:val="left"/>
      <w:pPr>
        <w:ind w:left="12822" w:hanging="360"/>
      </w:pPr>
    </w:lvl>
    <w:lvl w:ilvl="8" w:tplc="0415001B" w:tentative="1">
      <w:start w:val="1"/>
      <w:numFmt w:val="lowerRoman"/>
      <w:lvlText w:val="%9."/>
      <w:lvlJc w:val="right"/>
      <w:pPr>
        <w:ind w:left="13542" w:hanging="180"/>
      </w:pPr>
    </w:lvl>
  </w:abstractNum>
  <w:abstractNum w:abstractNumId="6" w15:restartNumberingAfterBreak="0">
    <w:nsid w:val="241F7403"/>
    <w:multiLevelType w:val="hybridMultilevel"/>
    <w:tmpl w:val="FAE6E79C"/>
    <w:lvl w:ilvl="0" w:tplc="E924B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162C9"/>
    <w:multiLevelType w:val="hybridMultilevel"/>
    <w:tmpl w:val="170A1E32"/>
    <w:lvl w:ilvl="0" w:tplc="2FF65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15135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1DA0E04"/>
    <w:multiLevelType w:val="hybridMultilevel"/>
    <w:tmpl w:val="DC321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70C77"/>
    <w:multiLevelType w:val="multilevel"/>
    <w:tmpl w:val="A5CCF076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7A05691A"/>
    <w:multiLevelType w:val="multilevel"/>
    <w:tmpl w:val="9B86D954"/>
    <w:lvl w:ilvl="0">
      <w:start w:val="1"/>
      <w:numFmt w:val="lowerLetter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51DD0"/>
    <w:multiLevelType w:val="hybridMultilevel"/>
    <w:tmpl w:val="D250E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F748B4"/>
    <w:multiLevelType w:val="hybridMultilevel"/>
    <w:tmpl w:val="A3800A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238930">
    <w:abstractNumId w:val="0"/>
  </w:num>
  <w:num w:numId="2" w16cid:durableId="1596404232">
    <w:abstractNumId w:val="1"/>
  </w:num>
  <w:num w:numId="3" w16cid:durableId="39089531">
    <w:abstractNumId w:val="5"/>
  </w:num>
  <w:num w:numId="4" w16cid:durableId="1900631234">
    <w:abstractNumId w:val="9"/>
  </w:num>
  <w:num w:numId="5" w16cid:durableId="184101904">
    <w:abstractNumId w:val="8"/>
  </w:num>
  <w:num w:numId="6" w16cid:durableId="1431509106">
    <w:abstractNumId w:val="12"/>
  </w:num>
  <w:num w:numId="7" w16cid:durableId="641929883">
    <w:abstractNumId w:val="11"/>
  </w:num>
  <w:num w:numId="8" w16cid:durableId="823666710">
    <w:abstractNumId w:val="10"/>
  </w:num>
  <w:num w:numId="9" w16cid:durableId="789975830">
    <w:abstractNumId w:val="13"/>
  </w:num>
  <w:num w:numId="10" w16cid:durableId="503858597">
    <w:abstractNumId w:val="7"/>
  </w:num>
  <w:num w:numId="11" w16cid:durableId="502861661">
    <w:abstractNumId w:val="6"/>
  </w:num>
  <w:num w:numId="12" w16cid:durableId="454711455">
    <w:abstractNumId w:val="2"/>
  </w:num>
  <w:num w:numId="13" w16cid:durableId="1839954705">
    <w:abstractNumId w:val="4"/>
  </w:num>
  <w:num w:numId="14" w16cid:durableId="288248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32"/>
    <w:rsid w:val="00024868"/>
    <w:rsid w:val="00051EAF"/>
    <w:rsid w:val="00106AFF"/>
    <w:rsid w:val="00204889"/>
    <w:rsid w:val="002B4A45"/>
    <w:rsid w:val="002D0F46"/>
    <w:rsid w:val="00311779"/>
    <w:rsid w:val="00325B52"/>
    <w:rsid w:val="00373BAB"/>
    <w:rsid w:val="00531066"/>
    <w:rsid w:val="00562420"/>
    <w:rsid w:val="0086089B"/>
    <w:rsid w:val="008A6145"/>
    <w:rsid w:val="008C519C"/>
    <w:rsid w:val="009677DA"/>
    <w:rsid w:val="00974B2A"/>
    <w:rsid w:val="00985E17"/>
    <w:rsid w:val="00993741"/>
    <w:rsid w:val="009C35FD"/>
    <w:rsid w:val="00A119AD"/>
    <w:rsid w:val="00A3524D"/>
    <w:rsid w:val="00A774FB"/>
    <w:rsid w:val="00A90059"/>
    <w:rsid w:val="00B156AF"/>
    <w:rsid w:val="00B50F32"/>
    <w:rsid w:val="00C800BF"/>
    <w:rsid w:val="00D13881"/>
    <w:rsid w:val="00D95F85"/>
    <w:rsid w:val="00DE4419"/>
    <w:rsid w:val="00E25F7F"/>
    <w:rsid w:val="00EC281C"/>
    <w:rsid w:val="00E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57DEC"/>
  <w15:chartTrackingRefBased/>
  <w15:docId w15:val="{0A999B28-F52B-4E96-80FF-2A64F827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B5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50F32"/>
    <w:pPr>
      <w:keepNext/>
      <w:numPr>
        <w:numId w:val="1"/>
      </w:numPr>
      <w:suppressAutoHyphens/>
      <w:jc w:val="center"/>
      <w:outlineLvl w:val="0"/>
    </w:pPr>
    <w:rPr>
      <w:b/>
      <w:sz w:val="5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50F32"/>
    <w:pPr>
      <w:keepNext/>
      <w:numPr>
        <w:ilvl w:val="1"/>
        <w:numId w:val="1"/>
      </w:numPr>
      <w:suppressAutoHyphens/>
      <w:outlineLvl w:val="1"/>
    </w:pPr>
    <w:rPr>
      <w:b/>
      <w:sz w:val="3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50F32"/>
    <w:pPr>
      <w:keepNext/>
      <w:numPr>
        <w:ilvl w:val="2"/>
        <w:numId w:val="1"/>
      </w:numPr>
      <w:suppressAutoHyphens/>
      <w:jc w:val="center"/>
      <w:outlineLvl w:val="2"/>
    </w:pPr>
    <w:rPr>
      <w:b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50F32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1EAF"/>
    <w:pPr>
      <w:keepNext/>
      <w:keepLines/>
      <w:suppressAutoHyphen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0F32"/>
    <w:rPr>
      <w:rFonts w:ascii="Times New Roman" w:eastAsia="Times New Roman" w:hAnsi="Times New Roman" w:cs="Times New Roman"/>
      <w:b/>
      <w:kern w:val="0"/>
      <w:sz w:val="52"/>
      <w:szCs w:val="2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B50F32"/>
    <w:rPr>
      <w:rFonts w:ascii="Times New Roman" w:eastAsia="Times New Roman" w:hAnsi="Times New Roman" w:cs="Times New Roman"/>
      <w:b/>
      <w:kern w:val="0"/>
      <w:sz w:val="32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B50F32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B50F32"/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B50F32"/>
    <w:pPr>
      <w:suppressAutoHyphens/>
      <w:spacing w:after="120"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0F32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B50F32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0F3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aliases w:val="Normalny2"/>
    <w:basedOn w:val="Normalny"/>
    <w:link w:val="AkapitzlistZnak"/>
    <w:uiPriority w:val="34"/>
    <w:qFormat/>
    <w:rsid w:val="00B50F32"/>
    <w:pPr>
      <w:suppressAutoHyphens/>
      <w:ind w:left="720"/>
      <w:contextualSpacing/>
    </w:pPr>
    <w:rPr>
      <w:lang w:eastAsia="ar-SA"/>
    </w:rPr>
  </w:style>
  <w:style w:type="paragraph" w:customStyle="1" w:styleId="Akapitzlist1">
    <w:name w:val="Akapit z listą1"/>
    <w:basedOn w:val="Normalny"/>
    <w:rsid w:val="00B50F32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Normalny2 Znak"/>
    <w:link w:val="Akapitzlist"/>
    <w:uiPriority w:val="34"/>
    <w:qFormat/>
    <w:rsid w:val="00B50F3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39"/>
    <w:rsid w:val="00B50F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50F32"/>
    <w:pPr>
      <w:autoSpaceDN w:val="0"/>
      <w:spacing w:line="300" w:lineRule="auto"/>
      <w:textAlignment w:val="baseline"/>
    </w:pPr>
    <w:rPr>
      <w:rFonts w:ascii="Calibri" w:eastAsia="Times New Roman" w:hAnsi="Calibri" w:cs="Times New Roman"/>
      <w:kern w:val="0"/>
      <w:sz w:val="21"/>
      <w:szCs w:val="21"/>
      <w:lang w:eastAsia="zh-CN" w:bidi="hi-IN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1EAF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Dąbrowski</dc:creator>
  <cp:keywords/>
  <dc:description/>
  <cp:lastModifiedBy>Piotr Dąbrowski</cp:lastModifiedBy>
  <cp:revision>14</cp:revision>
  <dcterms:created xsi:type="dcterms:W3CDTF">2024-06-23T08:56:00Z</dcterms:created>
  <dcterms:modified xsi:type="dcterms:W3CDTF">2025-01-20T20:35:00Z</dcterms:modified>
</cp:coreProperties>
</file>